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087BF1" w:rsidRDefault="00C71C68" w:rsidP="00C71C68">
      <w:pPr>
        <w:rPr>
          <w:rFonts w:asciiTheme="minorHAnsi" w:hAnsiTheme="minorHAnsi" w:cs="Arial"/>
        </w:rPr>
      </w:pPr>
      <w:r w:rsidRPr="00087BF1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E17898" wp14:editId="53DC26B3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087BF1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3FC585CE" wp14:editId="17AB1571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87BF1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19624F38" wp14:editId="6B85CF8A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087BF1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087BF1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087BF1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087BF1">
        <w:rPr>
          <w:rFonts w:asciiTheme="minorHAnsi" w:hAnsiTheme="minorHAnsi" w:cs="Arial"/>
          <w:lang w:val="el-GR"/>
        </w:rPr>
        <w:t xml:space="preserve">Εφαρμοσμένη </w:t>
      </w:r>
      <w:r w:rsidR="00145B5F" w:rsidRPr="00087BF1">
        <w:rPr>
          <w:rFonts w:asciiTheme="minorHAnsi" w:hAnsiTheme="minorHAnsi" w:cs="Arial"/>
          <w:lang w:val="el-GR"/>
        </w:rPr>
        <w:t xml:space="preserve">Ενζυμολογία </w:t>
      </w:r>
      <w:r w:rsidR="00BF0B9D" w:rsidRPr="00087BF1">
        <w:rPr>
          <w:rFonts w:asciiTheme="minorHAnsi" w:hAnsiTheme="minorHAnsi" w:cs="Arial"/>
          <w:lang w:val="el-GR"/>
        </w:rPr>
        <w:t>(Ε)</w:t>
      </w:r>
    </w:p>
    <w:p w:rsidR="00B3399D" w:rsidRPr="00087BF1" w:rsidRDefault="00B3399D" w:rsidP="00C34768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087BF1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087BF1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19501F" w:rsidRPr="00087BF1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Pr="00087BF1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19501F" w:rsidRPr="00087BF1">
        <w:rPr>
          <w:rFonts w:asciiTheme="minorHAnsi" w:hAnsiTheme="minorHAnsi" w:cs="Arial"/>
          <w:b/>
          <w:bCs/>
          <w:sz w:val="24"/>
          <w:szCs w:val="24"/>
          <w:lang w:val="el-GR"/>
        </w:rPr>
        <w:t>Ποσοτικός προσδιορισμός γλυκερίνης με ενζυμικές αντιδράσεις</w:t>
      </w:r>
    </w:p>
    <w:p w:rsidR="00145B5F" w:rsidRPr="00087BF1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087BF1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087BF1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087BF1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087BF1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087BF1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087BF1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087BF1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087BF1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087BF1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087BF1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087BF1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087BF1" w:rsidTr="009D1D2E">
        <w:trPr>
          <w:trHeight w:val="2124"/>
        </w:trPr>
        <w:tc>
          <w:tcPr>
            <w:tcW w:w="3369" w:type="dxa"/>
          </w:tcPr>
          <w:p w:rsidR="002C12EC" w:rsidRPr="00087BF1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087BF1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0777C3D1" wp14:editId="189FE4F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087BF1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087BF1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087BF1">
              <w:rPr>
                <w:rFonts w:asciiTheme="minorHAnsi" w:hAnsiTheme="minorHAnsi" w:cs="Arial"/>
                <w:sz w:val="20"/>
              </w:rPr>
              <w:t>Creati</w:t>
            </w:r>
            <w:r w:rsidR="00A40ED7" w:rsidRPr="00087BF1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087BF1">
              <w:rPr>
                <w:rFonts w:asciiTheme="minorHAnsi" w:hAnsiTheme="minorHAnsi" w:cs="Arial"/>
                <w:sz w:val="20"/>
              </w:rPr>
              <w:t>e</w:t>
            </w:r>
            <w:r w:rsidRPr="00087BF1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087BF1">
              <w:rPr>
                <w:rFonts w:asciiTheme="minorHAnsi" w:hAnsiTheme="minorHAnsi" w:cs="Arial"/>
                <w:sz w:val="20"/>
              </w:rPr>
              <w:t>C</w:t>
            </w:r>
            <w:r w:rsidR="00A40ED7" w:rsidRPr="00087BF1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087BF1">
              <w:rPr>
                <w:rFonts w:asciiTheme="minorHAnsi" w:hAnsiTheme="minorHAnsi" w:cs="Arial"/>
                <w:sz w:val="20"/>
              </w:rPr>
              <w:t>mm</w:t>
            </w:r>
            <w:r w:rsidR="00A40ED7" w:rsidRPr="00087BF1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087BF1">
              <w:rPr>
                <w:rFonts w:asciiTheme="minorHAnsi" w:hAnsiTheme="minorHAnsi" w:cs="Arial"/>
                <w:sz w:val="20"/>
              </w:rPr>
              <w:t>ns</w:t>
            </w:r>
            <w:r w:rsidRPr="00087BF1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087BF1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087BF1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491EDE59" wp14:editId="4044CC4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087BF1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087BF1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C77E34" w:rsidRPr="00087BF1" w:rsidRDefault="00C77E34">
      <w:pPr>
        <w:rPr>
          <w:rFonts w:asciiTheme="minorHAnsi" w:hAnsiTheme="minorHAnsi" w:cs="Arial"/>
          <w:lang w:val="el-GR"/>
        </w:rPr>
      </w:pPr>
    </w:p>
    <w:p w:rsidR="00C77E34" w:rsidRPr="00087BF1" w:rsidRDefault="00C77E34">
      <w:pPr>
        <w:rPr>
          <w:rFonts w:asciiTheme="minorHAnsi" w:hAnsiTheme="minorHAnsi" w:cs="Arial"/>
          <w:lang w:val="el-GR"/>
        </w:rPr>
      </w:pPr>
      <w:r w:rsidRPr="00087BF1">
        <w:rPr>
          <w:rFonts w:asciiTheme="minorHAnsi" w:hAnsiTheme="minorHAnsi" w:cs="Arial"/>
          <w:lang w:val="el-GR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115149205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40ED7" w:rsidRPr="00087BF1" w:rsidRDefault="00A40ED7" w:rsidP="00A40ED7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</w:rPr>
          </w:pPr>
          <w:r w:rsidRPr="00087BF1">
            <w:rPr>
              <w:rFonts w:asciiTheme="minorHAnsi" w:hAnsiTheme="minorHAnsi"/>
              <w:lang w:val="el-GR"/>
            </w:rPr>
            <w:t>Περιεχόμενα</w:t>
          </w:r>
        </w:p>
        <w:p w:rsidR="00DA5411" w:rsidRPr="00087BF1" w:rsidRDefault="00A40ED7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087BF1">
            <w:rPr>
              <w:rFonts w:asciiTheme="minorHAnsi" w:hAnsiTheme="minorHAnsi"/>
            </w:rPr>
            <w:fldChar w:fldCharType="begin"/>
          </w:r>
          <w:r w:rsidRPr="00087BF1">
            <w:rPr>
              <w:rFonts w:asciiTheme="minorHAnsi" w:hAnsiTheme="minorHAnsi"/>
            </w:rPr>
            <w:instrText xml:space="preserve"> TOC \o "1-3" \h \z \u </w:instrText>
          </w:r>
          <w:r w:rsidRPr="00087BF1">
            <w:rPr>
              <w:rFonts w:asciiTheme="minorHAnsi" w:hAnsiTheme="minorHAnsi"/>
            </w:rPr>
            <w:fldChar w:fldCharType="separate"/>
          </w:r>
          <w:hyperlink w:anchor="_Toc411582431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_Toc411582431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2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2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_Toc411582432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2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3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_Toc411582433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2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4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_Toc411582434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3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5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Πειραματικό μέρος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_Toc411582435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4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6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Αποτελέσματα - Υπολογισμοί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_Toc411582436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5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7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Παράδειγμα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_Toc411582437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6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A5411" w:rsidRPr="00087BF1" w:rsidRDefault="00087BF1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2438" w:history="1">
            <w:r w:rsidR="00DA5411" w:rsidRPr="00087BF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ab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instrText xml:space="preserve"> PAGEREF _Toc411582438 \h </w:instrText>
            </w:r>
            <w:r w:rsidR="00DA5411" w:rsidRPr="00087BF1">
              <w:rPr>
                <w:rFonts w:asciiTheme="minorHAnsi" w:hAnsiTheme="minorHAnsi"/>
                <w:noProof/>
                <w:webHidden/>
              </w:rPr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t>6</w:t>
            </w:r>
            <w:r w:rsidR="00DA5411" w:rsidRPr="00087BF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A40ED7" w:rsidRPr="00087BF1" w:rsidRDefault="00A40ED7">
          <w:pPr>
            <w:rPr>
              <w:rFonts w:asciiTheme="minorHAnsi" w:hAnsiTheme="minorHAnsi"/>
            </w:rPr>
          </w:pPr>
          <w:r w:rsidRPr="00087BF1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06640C" w:rsidRPr="00087BF1" w:rsidRDefault="0006640C" w:rsidP="0006640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0" w:name="_Toc411582431"/>
      <w:r w:rsidRPr="00087BF1">
        <w:rPr>
          <w:rFonts w:asciiTheme="minorHAnsi" w:eastAsia="Times New Roman" w:hAnsiTheme="minorHAnsi"/>
          <w:lang w:val="el-GR" w:eastAsia="el-GR" w:bidi="ar-SA"/>
        </w:rPr>
        <w:t>Περιγραφή:</w:t>
      </w:r>
      <w:bookmarkEnd w:id="0"/>
    </w:p>
    <w:p w:rsidR="0006640C" w:rsidRPr="00087BF1" w:rsidRDefault="0006640C" w:rsidP="00A40E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Σκ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πός της εργαστηριακής άσκησης εί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τικός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ρισμός της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με χρήση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εφαρμ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γή στα τρόφιμα και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τά.</w:t>
      </w:r>
    </w:p>
    <w:p w:rsidR="0006640C" w:rsidRPr="00087BF1" w:rsidRDefault="0006640C" w:rsidP="00A40E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γ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ωστό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τελεί παραπρ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ϊό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αλκ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λικής ζύμωσης και επ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μπ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ρεί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βρεθεί σε μικρές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σότητες στα κρασιά.</w:t>
      </w:r>
    </w:p>
    <w:p w:rsidR="0006640C" w:rsidRPr="00087BF1" w:rsidRDefault="0006640C" w:rsidP="00A40E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μέθοδος αυτή μπ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ρεί επίσης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χρησιμ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ιηθεί για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της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στα διάφ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ρα καλλυ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τικά, στα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συ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τάται σε χαμηλές συγκε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τρώσεις.</w:t>
      </w:r>
    </w:p>
    <w:p w:rsidR="0006640C" w:rsidRPr="00087BF1" w:rsidRDefault="0006640C" w:rsidP="0006640C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" w:name="_Toc411582432"/>
      <w:r w:rsidRPr="00087BF1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1"/>
    </w:p>
    <w:p w:rsidR="0006640C" w:rsidRPr="00087BF1" w:rsidRDefault="0006640C" w:rsidP="000664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κατανόηση της χρήσης των ενζύμων στην ενζυμική ανάλυση και του  ρόλου του συνενζύμου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NAD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 /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NAD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για τον προσδιορισμό της συγκέντρωσης μιας ουσίας που μετέχει σε ενζυμική αντίδραση.</w:t>
      </w:r>
    </w:p>
    <w:p w:rsidR="0006640C" w:rsidRPr="00087BF1" w:rsidRDefault="0006640C" w:rsidP="00066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</w:p>
    <w:p w:rsidR="0006640C" w:rsidRPr="00087BF1" w:rsidRDefault="0006640C" w:rsidP="0006640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82433"/>
      <w:r w:rsidRPr="00087BF1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2"/>
    </w:p>
    <w:p w:rsidR="0006640C" w:rsidRPr="00087BF1" w:rsidRDefault="0006640C" w:rsidP="000664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Να εξοικειωθούν οι φοιτητές με τους </w:t>
      </w:r>
      <w:bookmarkStart w:id="3" w:name="_GoBack"/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ενζυμικούς</w:t>
      </w:r>
      <w:bookmarkEnd w:id="3"/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προσδιορισμούς.</w:t>
      </w:r>
    </w:p>
    <w:p w:rsidR="0006640C" w:rsidRPr="00087BF1" w:rsidRDefault="0006640C" w:rsidP="000664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Να εξοικειωθούν με τη λειτουργία των φασματοφωτομέτρων </w:t>
      </w:r>
      <w:r w:rsidR="00800D9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UV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μονής και διπλής δέσμης.</w:t>
      </w:r>
    </w:p>
    <w:p w:rsidR="0006640C" w:rsidRPr="00087BF1" w:rsidRDefault="0006640C" w:rsidP="00087B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ajorBidi"/>
          <w:b/>
          <w:bCs/>
          <w:sz w:val="30"/>
          <w:szCs w:val="28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γίνει κατανοητός ο υπολογισμός της συγκέντρωσης γλυκερίνης αγνώστου δείγματος, βάσει των μετρήσεων που έχουν λάβει.</w:t>
      </w:r>
      <w:r w:rsidRPr="00087BF1">
        <w:rPr>
          <w:rFonts w:asciiTheme="minorHAnsi" w:eastAsia="Times New Roman" w:hAnsiTheme="minorHAnsi"/>
          <w:lang w:val="el-GR" w:eastAsia="el-GR" w:bidi="ar-SA"/>
        </w:rPr>
        <w:br w:type="page"/>
      </w:r>
    </w:p>
    <w:p w:rsidR="0006640C" w:rsidRPr="00087BF1" w:rsidRDefault="0006640C" w:rsidP="0006640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4" w:name="_Toc411582434"/>
      <w:r w:rsidRPr="00087BF1">
        <w:rPr>
          <w:rFonts w:asciiTheme="minorHAnsi" w:eastAsia="Times New Roman" w:hAnsiTheme="minorHAnsi"/>
          <w:lang w:val="el-GR" w:eastAsia="el-GR" w:bidi="ar-SA"/>
        </w:rPr>
        <w:lastRenderedPageBreak/>
        <w:t>Περίληψη:</w:t>
      </w:r>
      <w:bookmarkEnd w:id="4"/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συγκεκριμέ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μέθ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στηρίζεται και αυτή (όπως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ιχες για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τικό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αιθα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όλης, γλυκόζης, φρ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υκτόζης) σε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ζυμικές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τιδράσεις, γεγ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ός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μας επιτρέπει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 χαμηλώ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συγκε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τρώσεω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σειρά τω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λόγω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έχει ως εξής: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υπάρχ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υσα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παρουσία τού ενζύμου γλυκερινοκι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άση (GK), αντιδρά με  ένα μόριο ΑΤΡ και φωσφ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ρυλιώ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 3-φωσφορική γλυκερίνη και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ADP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σύμφω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με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(1)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 xml:space="preserve">     </w:t>
      </w:r>
      <w:r w:rsidRPr="00087BF1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>GK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B8BB" wp14:editId="688497DA">
                <wp:simplePos x="0" y="0"/>
                <wp:positionH relativeFrom="column">
                  <wp:posOffset>1430655</wp:posOffset>
                </wp:positionH>
                <wp:positionV relativeFrom="paragraph">
                  <wp:posOffset>93980</wp:posOffset>
                </wp:positionV>
                <wp:extent cx="542925" cy="0"/>
                <wp:effectExtent l="9525" t="59055" r="19050" b="6477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7.4pt" to="155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">
                <v:stroke endarrow="open" endarrowwidth="narrow"/>
              </v:line>
            </w:pict>
          </mc:Fallback>
        </mc:AlternateConten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(1)  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+ ATP                  3-Φωσφορική γλυκερίνη + ADP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παραγόμε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(1) Α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παρουσία  φωσφοενολοπυροσταφυλικού οξέως (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PEP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και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πυρ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σταφυλικής κι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άσης (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PK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), μετατρέπεται σε ΑΤΡ και πυροσταφυλικό όπως στην αντίδραση (2 )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                  </w:t>
      </w:r>
      <w:r w:rsidRPr="00087BF1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>PK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26FB2" wp14:editId="5B43CFE9">
                <wp:simplePos x="0" y="0"/>
                <wp:positionH relativeFrom="column">
                  <wp:posOffset>1087755</wp:posOffset>
                </wp:positionH>
                <wp:positionV relativeFrom="paragraph">
                  <wp:posOffset>76835</wp:posOffset>
                </wp:positionV>
                <wp:extent cx="552450" cy="0"/>
                <wp:effectExtent l="9525" t="60325" r="19050" b="6350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6.05pt" to="12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">
                <v:stroke endarrow="open" endarrowwidth="narrow"/>
              </v:line>
            </w:pict>
          </mc:Fallback>
        </mc:AlternateConten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(2)  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ADP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+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PEP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   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ATP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+ Πυροσταφυλικό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Τέλος το παραγόμε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πυροσταφυλικό οξύ, παρ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υσία τού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γαλακτική αφυδρ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άση (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LDH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και συ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σχηματίζει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-γαλακτικό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ξύ σύμφω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με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 (3)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 xml:space="preserve">              </w:t>
      </w:r>
      <w:r w:rsidRPr="00087BF1"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>L</w:t>
      </w:r>
      <w:r w:rsidRPr="00087BF1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>-</w:t>
      </w:r>
      <w:r w:rsidRPr="00087BF1"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>LDH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17" wp14:editId="3EB89E28">
                <wp:simplePos x="0" y="0"/>
                <wp:positionH relativeFrom="column">
                  <wp:posOffset>2326005</wp:posOffset>
                </wp:positionH>
                <wp:positionV relativeFrom="paragraph">
                  <wp:posOffset>76835</wp:posOffset>
                </wp:positionV>
                <wp:extent cx="466725" cy="0"/>
                <wp:effectExtent l="9525" t="59690" r="19050" b="6413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6.05pt" to="219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">
                <v:stroke endarrow="open" endarrowwidth="narrow"/>
              </v:line>
            </w:pict>
          </mc:Fallback>
        </mc:AlternateConten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(3)   Πυροσταφυλικό + NADH + H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 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 Γαλακτικό οξυ + NAD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Παρατηρ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ότι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ξειδώ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κατά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(3),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ιχεί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μετρικά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σχηματιζόμε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από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αντίδραση (2) πυρ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σταφυλικού και επ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σωπεύει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 της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(όπ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ως γ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ωστό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φά 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α) και εφαρμόζ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γ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ύς τύπ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υς της φασματ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μετρίας,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ρίζ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έμμεσα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Συγκεκριμέ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εφαρμόζεται τύπ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ς: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16"/>
          <w:szCs w:val="24"/>
          <w:lang w:val="el-GR" w:eastAsia="el-GR" w:bidi="ar-SA"/>
        </w:rPr>
      </w:pPr>
    </w:p>
    <w:p w:rsidR="0006640C" w:rsidRPr="00087BF1" w:rsidRDefault="0006640C" w:rsidP="0006640C">
      <w:pPr>
        <w:spacing w:after="0" w:line="240" w:lineRule="auto"/>
        <w:jc w:val="center"/>
        <w:rPr>
          <w:rFonts w:asciiTheme="minorHAnsi" w:eastAsia="Times New Roman" w:hAnsiTheme="minorHAnsi" w:cs="Times New Roman"/>
          <w:sz w:val="16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position w:val="-24"/>
          <w:sz w:val="24"/>
          <w:szCs w:val="24"/>
          <w:lang w:val="el-GR" w:eastAsia="el-GR" w:bidi="ar-SA"/>
        </w:rPr>
        <w:object w:dxaOrig="2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4pt;height:30.55pt" o:ole="">
            <v:imagedata r:id="rId13" o:title=""/>
          </v:shape>
          <o:OLEObject Type="Embed" ProgID="Equation.3" ShapeID="_x0000_i1025" DrawAspect="Content" ObjectID="_1498979392" r:id="rId14"/>
        </w:objec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(1)</w:t>
      </w:r>
      <w:r w:rsidRPr="00087BF1">
        <w:rPr>
          <w:rFonts w:asciiTheme="minorHAnsi" w:eastAsia="Times New Roman" w:hAnsiTheme="minorHAnsi" w:cs="Times New Roman"/>
          <w:sz w:val="16"/>
          <w:szCs w:val="24"/>
          <w:lang w:val="el-GR" w:eastAsia="el-GR" w:bidi="ar-SA"/>
        </w:rPr>
        <w:tab/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υ:</w:t>
      </w:r>
    </w:p>
    <w:p w:rsidR="0006640C" w:rsidRPr="00087BF1" w:rsidRDefault="00A40ED7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lastRenderedPageBreak/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ab/>
        <w:t>- τελικός όγκ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(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eastAsia="el-GR" w:bidi="ar-SA"/>
        </w:rPr>
        <w:t>ml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</w:p>
    <w:p w:rsidR="0006640C" w:rsidRPr="00087BF1" w:rsidRDefault="00A40ED7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</w:t>
      </w:r>
      <w:r w:rsidR="0006640C"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όγκ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δείγματ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(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eastAsia="el-GR" w:bidi="ar-SA"/>
        </w:rPr>
        <w:t>ml</w:t>
      </w:r>
      <w:r w:rsidR="0006640C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Μ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W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μ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ριακό βάρ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ς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γλυκερίνης (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g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ε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συ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τελεστής  απορρόφησης τ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υ 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NADH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340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ε = 6,3 (</w:t>
      </w:r>
      <w:r w:rsidRPr="00087BF1">
        <w:rPr>
          <w:rFonts w:asciiTheme="minorHAnsi" w:eastAsia="Times New Roman" w:hAnsiTheme="minorHAnsi" w:cs="Times New Roman"/>
          <w:position w:val="-6"/>
          <w:sz w:val="24"/>
          <w:szCs w:val="18"/>
          <w:lang w:val="el-GR" w:eastAsia="el-GR" w:bidi="ar-SA"/>
        </w:rPr>
        <w:object w:dxaOrig="1719" w:dyaOrig="320">
          <v:shape id="_x0000_i1026" type="#_x0000_t75" style="width:86.25pt;height:15.6pt" o:ole="">
            <v:imagedata r:id="rId15" o:title=""/>
          </v:shape>
          <o:OLEObject Type="Embed" ProgID="Equation.3" ShapeID="_x0000_i1026" DrawAspect="Content" ObjectID="_1498979393" r:id="rId16"/>
        </w:objec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d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πάχ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κυψελίδας (</w:t>
      </w:r>
      <w:r w:rsidRPr="00087BF1">
        <w:rPr>
          <w:rFonts w:asciiTheme="minorHAnsi" w:eastAsia="Times New Roman" w:hAnsiTheme="minorHAnsi" w:cs="Times New Roman"/>
          <w:sz w:val="24"/>
          <w:szCs w:val="18"/>
          <w:lang w:eastAsia="el-GR" w:bidi="ar-SA"/>
        </w:rPr>
        <w:t>cm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) 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ΔΑ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διαφ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ρά απ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ρρόφησης δείγματ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– τυφλ</w:t>
      </w:r>
      <w:r w:rsidR="00A40ED7"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ύ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F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>- συ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τελεστής αραίωσης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όρια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εί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0.03 - 0.4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lt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εί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εκτός τω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ωτέρω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κατάλληλες αραιώσεις.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276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276"/>
      </w:tblGrid>
      <w:tr w:rsidR="0006640C" w:rsidRPr="00087BF1" w:rsidTr="0061174D">
        <w:trPr>
          <w:trHeight w:val="309"/>
        </w:trPr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0C" w:rsidRPr="00087BF1" w:rsidRDefault="0006640C" w:rsidP="0006640C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5" w:name="_Toc411582435"/>
            <w:r w:rsidRPr="00087BF1">
              <w:rPr>
                <w:rFonts w:asciiTheme="minorHAnsi" w:eastAsia="Times New Roman" w:hAnsiTheme="minorHAnsi"/>
                <w:lang w:val="el-GR" w:eastAsia="el-GR" w:bidi="ar-SA"/>
              </w:rPr>
              <w:t>Πειραματικό μέρος</w:t>
            </w:r>
            <w:bookmarkEnd w:id="5"/>
          </w:p>
        </w:tc>
      </w:tr>
    </w:tbl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ΑΠΑ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ΤΟΥΜΕΝΑ ΟΡΓΑΝΑ, ΑΝΤ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ΔΡΑΣΤΗΡ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</w:p>
    <w:p w:rsidR="0006640C" w:rsidRPr="00087BF1" w:rsidRDefault="0006640C" w:rsidP="00103D34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υπεριώδ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υς</w:t>
      </w:r>
    </w:p>
    <w:p w:rsidR="0006640C" w:rsidRPr="00087BF1" w:rsidRDefault="0006640C" w:rsidP="00103D34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Κυψελίδες από χαλαζία</w:t>
      </w:r>
    </w:p>
    <w:p w:rsidR="0006640C" w:rsidRPr="00087BF1" w:rsidRDefault="0006640C" w:rsidP="00103D34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νζυμικά Κ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για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ρισμό γλυκερίνης </w:t>
      </w:r>
    </w:p>
    <w:p w:rsidR="0006640C" w:rsidRPr="00087BF1" w:rsidRDefault="0006640C" w:rsidP="00103D34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Σιφώ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ια τω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 και 2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</w:p>
    <w:p w:rsidR="0006640C" w:rsidRPr="00087BF1" w:rsidRDefault="0006640C" w:rsidP="00103D34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Μικρ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πιπέτες τω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10 μ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</w:p>
    <w:p w:rsidR="0006640C" w:rsidRPr="00087BF1" w:rsidRDefault="0006640C" w:rsidP="00103D34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Χρ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όμετρ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μπ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υκάλια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για 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γλυκερίνης περιέχ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</w:t>
      </w:r>
    </w:p>
    <w:p w:rsidR="0006640C" w:rsidRPr="00087BF1" w:rsidRDefault="0006640C" w:rsidP="00103D34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Ρυθμιστικό διάλυμα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7.4 ,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ATP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PEP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MgS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4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σταθερ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ιητές.</w:t>
      </w:r>
    </w:p>
    <w:p w:rsidR="0006640C" w:rsidRPr="00087BF1" w:rsidRDefault="0006640C" w:rsidP="00103D34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Διάλυμα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: ΡΚ (240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),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LDH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(220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06640C" w:rsidRPr="00087BF1" w:rsidRDefault="0006640C" w:rsidP="00103D34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Διάλυμα ε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GK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(34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A40ED7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Όλες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αφερόμε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ες στ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θεωρητικό μέρ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α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τιδράσεις γί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σε κυψελίδες φασματ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μετρώ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ται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απ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φήσεις στα 340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Μετρώ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ται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φήσεις σε τυφλό (με απεσταγμέ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ερό) και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δείγμα.</w:t>
      </w:r>
    </w:p>
    <w:p w:rsidR="0006640C" w:rsidRPr="00087BF1" w:rsidRDefault="00A40ED7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υθείται η παρακάτω π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ρεία: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Κυψελίδα τυφλ</w:t>
      </w:r>
      <w:r w:rsidR="00A40ED7" w:rsidRPr="00087BF1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ύ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1,00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(1)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2,00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δις απεσταγμέ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ερό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0,010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αντιδραστήριο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(2)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αδεύ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και μετά 5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(Α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0,010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(3)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αδεύ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και μετά 5-10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(Α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Κυψελίδα δείγματ</w:t>
      </w:r>
      <w:r w:rsidR="00A40ED7" w:rsidRPr="00087BF1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ς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1,00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(1)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1,90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δις απεσταγμέ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ερό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0,100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0,010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(2)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αδεύ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και μετά 5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(Α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[α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τιδράσεις (2), (3)]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0,010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(3)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αδεύ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και μετά 5-10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(Α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[α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(1) και ακ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ύθως (2), (3)]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πρώτα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(2) και κατόπι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(3) με σκ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πό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μετασχηματίσ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πυρ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σταφυλικό που πιθα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 υπάρχει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 και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μη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γίσ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και αυτό σα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γλυκερί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η.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815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815"/>
      </w:tblGrid>
      <w:tr w:rsidR="0006640C" w:rsidRPr="00087BF1" w:rsidTr="0061174D">
        <w:trPr>
          <w:trHeight w:val="274"/>
        </w:trPr>
        <w:tc>
          <w:tcPr>
            <w:tcW w:w="8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40C" w:rsidRPr="00087BF1" w:rsidRDefault="00A40ED7" w:rsidP="00A40ED7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6" w:name="_Toc411582436"/>
            <w:r w:rsidRPr="00087BF1">
              <w:rPr>
                <w:rFonts w:asciiTheme="minorHAnsi" w:eastAsia="Times New Roman" w:hAnsiTheme="minorHAnsi"/>
                <w:lang w:val="el-GR" w:eastAsia="el-GR" w:bidi="ar-SA"/>
              </w:rPr>
              <w:t>Αποτελέσματα - Υπολογισμοί</w:t>
            </w:r>
            <w:bookmarkEnd w:id="6"/>
          </w:p>
        </w:tc>
      </w:tr>
    </w:tbl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Αντικαθιστώντας στη σχέση (1) βρίσκουμε ότι για την γλυκερίνη ισχύει:</w:t>
      </w:r>
    </w:p>
    <w:p w:rsidR="0006640C" w:rsidRPr="00087BF1" w:rsidRDefault="0006640C" w:rsidP="0006640C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position w:val="-28"/>
          <w:sz w:val="24"/>
          <w:szCs w:val="24"/>
          <w:lang w:val="el-GR" w:eastAsia="el-GR" w:bidi="ar-SA"/>
        </w:rPr>
        <w:object w:dxaOrig="4400" w:dyaOrig="660">
          <v:shape id="_x0000_i1027" type="#_x0000_t75" style="width:220.1pt;height:30.55pt" o:ole="">
            <v:imagedata r:id="rId17" o:title=""/>
          </v:shape>
          <o:OLEObject Type="Embed" ProgID="Equation.3" ShapeID="_x0000_i1027" DrawAspect="Content" ObjectID="_1498979394" r:id="rId18"/>
        </w:objec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μετρήσ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τις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φήσεις υπ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γίζ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ΔA από τη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σχέση: </w:t>
      </w:r>
    </w:p>
    <w:p w:rsidR="0006640C" w:rsidRPr="00087BF1" w:rsidRDefault="0006640C" w:rsidP="00A40E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Δ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δ-ΔΑτ = (Α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– 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- (Α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– 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A40ED7" w:rsidRPr="00087BF1" w:rsidRDefault="00A40ED7">
      <w:pPr>
        <w:rPr>
          <w:rFonts w:asciiTheme="minorHAnsi" w:eastAsia="Times New Roman" w:hAnsiTheme="minorHAnsi" w:cstheme="majorBidi"/>
          <w:b/>
          <w:bCs/>
          <w:sz w:val="30"/>
          <w:szCs w:val="28"/>
          <w:lang w:val="el-GR" w:eastAsia="el-GR" w:bidi="ar-SA"/>
        </w:rPr>
      </w:pPr>
      <w:r w:rsidRPr="00087BF1">
        <w:rPr>
          <w:rFonts w:asciiTheme="minorHAnsi" w:eastAsia="Times New Roman" w:hAnsiTheme="minorHAnsi"/>
          <w:lang w:val="el-GR" w:eastAsia="el-GR" w:bidi="ar-SA"/>
        </w:rPr>
        <w:br w:type="page"/>
      </w:r>
    </w:p>
    <w:p w:rsidR="0006640C" w:rsidRPr="00087BF1" w:rsidRDefault="00A40ED7" w:rsidP="00A40ED7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7" w:name="_Toc411582437"/>
      <w:r w:rsidRPr="00087BF1">
        <w:rPr>
          <w:rFonts w:asciiTheme="minorHAnsi" w:eastAsia="Times New Roman" w:hAnsiTheme="minorHAnsi"/>
          <w:lang w:val="el-GR" w:eastAsia="el-GR" w:bidi="ar-SA"/>
        </w:rPr>
        <w:lastRenderedPageBreak/>
        <w:t>Παράδειγμα</w:t>
      </w:r>
      <w:bookmarkEnd w:id="7"/>
    </w:p>
    <w:p w:rsidR="0006640C" w:rsidRPr="00087BF1" w:rsidRDefault="0006640C" w:rsidP="0006640C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Σε ένα άγνωστο δείγμα κρασιού προσδιορίζεται ενζυμικά η γλυκερίνη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μετρήσεις τω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φήσεω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 και τ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τυφλό είχα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ως εξής: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Τυφλό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     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Δείγμα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 1,50                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 1,30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 1,43                Α</w:t>
      </w:r>
      <w:r w:rsidRPr="00087BF1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 0,34</w:t>
      </w: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06640C" w:rsidRPr="00087BF1" w:rsidRDefault="0006640C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Δ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= (1,30 – 0,34) - (1,50 – 1,43)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sym w:font="Symbol" w:char="F0DE"/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0,96 – 0,07 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sym w:font="Symbol" w:char="F0DE"/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Δ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0,89</w:t>
      </w:r>
    </w:p>
    <w:p w:rsidR="0006640C" w:rsidRPr="00087BF1" w:rsidRDefault="00A40ED7" w:rsidP="00066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32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πότε α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τικαθιστώ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στ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τύπ</w:t>
      </w: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="0006640C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υπολογίζουμε την ποσότητα της γλυκερίνης</w:t>
      </w:r>
    </w:p>
    <w:p w:rsidR="0006640C" w:rsidRPr="00087BF1" w:rsidRDefault="0006640C" w:rsidP="0006640C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C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γλυκερίνης = 0,3928 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g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/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l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</w:t>
      </w:r>
    </w:p>
    <w:p w:rsidR="0006640C" w:rsidRPr="00087BF1" w:rsidRDefault="0006640C" w:rsidP="0006640C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06640C" w:rsidRPr="00087BF1" w:rsidRDefault="0006640C" w:rsidP="00A40ED7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8" w:name="_Toc411582438"/>
      <w:r w:rsidRPr="00087BF1">
        <w:rPr>
          <w:rFonts w:asciiTheme="minorHAnsi" w:eastAsia="Times New Roman" w:hAnsiTheme="minorHAnsi"/>
          <w:lang w:val="el-GR" w:eastAsia="el-GR" w:bidi="ar-SA"/>
        </w:rPr>
        <w:t>Βιβλιογραφία</w:t>
      </w:r>
      <w:bookmarkEnd w:id="8"/>
    </w:p>
    <w:p w:rsidR="0006640C" w:rsidRPr="00087BF1" w:rsidRDefault="0006640C" w:rsidP="0006640C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06640C" w:rsidRPr="00087BF1" w:rsidRDefault="0006640C" w:rsidP="00103D34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Τ. Α. Γιουψάνη, Δ.Α. Κυριακίδη, «Ενζυμολογία »</w:t>
      </w:r>
    </w:p>
    <w:p w:rsidR="0006640C" w:rsidRPr="00087BF1" w:rsidRDefault="0006640C" w:rsidP="00103D34">
      <w:pPr>
        <w:pStyle w:val="a4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Εκδόσεις Ζήτη, Θεσσαλονίκη 2001</w:t>
      </w:r>
    </w:p>
    <w:p w:rsidR="0006640C" w:rsidRPr="00087BF1" w:rsidRDefault="0006640C" w:rsidP="00103D34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ehringer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Mannheim</w:t>
      </w: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Bi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chemica “Meth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ds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f Bi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chemical Analysis and F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d Analysis” 1987</w:t>
      </w:r>
    </w:p>
    <w:p w:rsidR="0006640C" w:rsidRPr="00087BF1" w:rsidRDefault="0006640C" w:rsidP="00103D34">
      <w:pPr>
        <w:pStyle w:val="a4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Eggstein, M. &amp; Kuhlmann, E. (1974) in Meth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ds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f Enzymatic Analysis (Bergmeyer, H.U., ed.) 2nd ed.,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νο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l. 4, pp. 1825-1831; 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Ν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erlag Chemie, Weinheim/Academic Press, Inc., New Y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rk and L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nd</w:t>
      </w:r>
      <w:r w:rsidR="00A40ED7"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087BF1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n.</w:t>
      </w:r>
    </w:p>
    <w:p w:rsidR="003A5263" w:rsidRPr="00087BF1" w:rsidRDefault="003A5263">
      <w:pPr>
        <w:rPr>
          <w:rFonts w:asciiTheme="minorHAnsi" w:hAnsiTheme="minorHAnsi" w:cs="Arial"/>
        </w:rPr>
      </w:pPr>
    </w:p>
    <w:p w:rsidR="00103D34" w:rsidRPr="00087BF1" w:rsidRDefault="00103D34">
      <w:pPr>
        <w:rPr>
          <w:rFonts w:asciiTheme="minorHAnsi" w:hAnsiTheme="minorHAnsi"/>
        </w:rPr>
      </w:pPr>
      <w:r w:rsidRPr="00087BF1">
        <w:rPr>
          <w:rFonts w:asciiTheme="minorHAnsi" w:hAnsiTheme="minorHAnsi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087BF1" w:rsidTr="00EC5992">
        <w:trPr>
          <w:trHeight w:val="1516"/>
        </w:trPr>
        <w:tc>
          <w:tcPr>
            <w:tcW w:w="8612" w:type="dxa"/>
          </w:tcPr>
          <w:p w:rsidR="003A5263" w:rsidRPr="00087BF1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087BF1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087BF1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087BF1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087BF1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087BF1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087BF1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087BF1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087BF1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087BF1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087BF1" w:rsidTr="00EC5992">
        <w:trPr>
          <w:trHeight w:val="2592"/>
        </w:trPr>
        <w:tc>
          <w:tcPr>
            <w:tcW w:w="8612" w:type="dxa"/>
          </w:tcPr>
          <w:p w:rsidR="00EC5992" w:rsidRPr="00087BF1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087BF1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087BF1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087BF1" w:rsidRDefault="00EC5992" w:rsidP="00103D3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087BF1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087BF1" w:rsidRDefault="00EC5992" w:rsidP="00103D3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087BF1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087BF1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087BF1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087BF1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087BF1" w:rsidRDefault="00EC5992" w:rsidP="00103D3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087BF1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087BF1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087BF1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4B98292A" wp14:editId="277018C9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D34" w:rsidRPr="00087BF1" w:rsidRDefault="00103D34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087BF1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087BF1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087BF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087BF1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087BF1" w:rsidRDefault="00622D8C" w:rsidP="00622D8C">
      <w:p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</w:rPr>
        <w:t>C</w:t>
      </w:r>
      <w:r w:rsidR="00A40ED7" w:rsidRPr="00087BF1">
        <w:rPr>
          <w:rFonts w:asciiTheme="minorHAnsi" w:hAnsiTheme="minorHAnsi"/>
          <w:lang w:val="el-GR"/>
        </w:rPr>
        <w:t>ο</w:t>
      </w:r>
      <w:r w:rsidRPr="00087BF1">
        <w:rPr>
          <w:rFonts w:asciiTheme="minorHAnsi" w:hAnsiTheme="minorHAnsi"/>
        </w:rPr>
        <w:t>pyright</w:t>
      </w:r>
      <w:r w:rsidRPr="00087BF1">
        <w:rPr>
          <w:rFonts w:asciiTheme="minorHAnsi" w:hAnsiTheme="minorHAnsi"/>
          <w:lang w:val="el-GR"/>
        </w:rPr>
        <w:t xml:space="preserve"> </w:t>
      </w:r>
      <w:r w:rsidR="00670635" w:rsidRPr="00087BF1">
        <w:rPr>
          <w:rFonts w:asciiTheme="minorHAnsi" w:hAnsiTheme="minorHAnsi"/>
          <w:lang w:val="el-GR"/>
        </w:rPr>
        <w:t>ΤΕΙ Αθήνας</w:t>
      </w:r>
      <w:r w:rsidRPr="00087BF1">
        <w:rPr>
          <w:rFonts w:asciiTheme="minorHAnsi" w:hAnsiTheme="minorHAnsi"/>
          <w:lang w:val="el-GR"/>
        </w:rPr>
        <w:t xml:space="preserve">, </w:t>
      </w:r>
      <w:r w:rsidR="00145B5F" w:rsidRPr="00087BF1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087BF1">
        <w:rPr>
          <w:rFonts w:asciiTheme="minorHAnsi" w:hAnsiTheme="minorHAnsi"/>
          <w:color w:val="1F497D" w:themeColor="text2"/>
          <w:lang w:val="el-GR"/>
        </w:rPr>
        <w:t xml:space="preserve">, 2014. </w:t>
      </w:r>
      <w:r w:rsidR="00145B5F" w:rsidRPr="00087BF1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087BF1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087BF1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087BF1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BF0B9D" w:rsidRPr="00087BF1">
        <w:rPr>
          <w:rFonts w:asciiTheme="minorHAnsi" w:hAnsiTheme="minorHAnsi"/>
          <w:color w:val="1F497D" w:themeColor="text2"/>
          <w:lang w:val="el-GR"/>
        </w:rPr>
        <w:t>(Ε)</w:t>
      </w:r>
      <w:r w:rsidRPr="00087BF1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087BF1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19501F" w:rsidRPr="00087BF1">
        <w:rPr>
          <w:rFonts w:asciiTheme="minorHAnsi" w:hAnsiTheme="minorHAnsi"/>
          <w:color w:val="1F497D" w:themeColor="text2"/>
          <w:lang w:val="el-GR"/>
        </w:rPr>
        <w:t>3</w:t>
      </w:r>
      <w:r w:rsidR="00670635" w:rsidRPr="00087BF1">
        <w:rPr>
          <w:rFonts w:asciiTheme="minorHAnsi" w:hAnsiTheme="minorHAnsi"/>
          <w:color w:val="1F497D" w:themeColor="text2"/>
          <w:lang w:val="el-GR"/>
        </w:rPr>
        <w:t>:</w:t>
      </w:r>
      <w:r w:rsidR="00BA7F65" w:rsidRPr="00087BF1">
        <w:rPr>
          <w:rFonts w:asciiTheme="minorHAnsi" w:hAnsiTheme="minorHAnsi"/>
          <w:color w:val="1F497D" w:themeColor="text2"/>
          <w:lang w:val="el-GR"/>
        </w:rPr>
        <w:t xml:space="preserve"> </w:t>
      </w:r>
      <w:r w:rsidR="0019501F" w:rsidRPr="00087BF1">
        <w:rPr>
          <w:rFonts w:asciiTheme="minorHAnsi" w:hAnsiTheme="minorHAnsi"/>
          <w:color w:val="1F497D" w:themeColor="text2"/>
          <w:lang w:val="el-GR"/>
        </w:rPr>
        <w:t>Ποσοτικός προσδιορισμός γλυκερίνης με ενζυμικές αντιδράσεις</w:t>
      </w:r>
      <w:r w:rsidRPr="00087BF1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9" w:history="1">
        <w:r w:rsidR="00A40ED7" w:rsidRPr="00087BF1">
          <w:rPr>
            <w:rStyle w:val="-"/>
            <w:rFonts w:asciiTheme="minorHAnsi" w:hAnsiTheme="minorHAnsi"/>
            <w:lang w:val="el-GR"/>
          </w:rPr>
          <w:t>ο</w:t>
        </w:r>
        <w:r w:rsidR="00670635" w:rsidRPr="00087BF1">
          <w:rPr>
            <w:rStyle w:val="-"/>
            <w:rFonts w:asciiTheme="minorHAnsi" w:hAnsiTheme="minorHAnsi"/>
            <w:lang w:val="el-GR"/>
          </w:rPr>
          <w:t>cp.teiath.gr</w:t>
        </w:r>
      </w:hyperlink>
      <w:r w:rsidRPr="00087BF1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087BF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087BF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087BF1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087BF1" w:rsidRDefault="00794F0C" w:rsidP="00794F0C">
      <w:p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>Το παρόν υλικό διατίθεται με τους όρους της άδειας χρήσης Creati</w:t>
      </w:r>
      <w:r w:rsidR="00A40ED7" w:rsidRPr="00087BF1">
        <w:rPr>
          <w:rFonts w:asciiTheme="minorHAnsi" w:hAnsiTheme="minorHAnsi"/>
          <w:lang w:val="el-GR"/>
        </w:rPr>
        <w:t>ν</w:t>
      </w:r>
      <w:r w:rsidRPr="00087BF1">
        <w:rPr>
          <w:rFonts w:asciiTheme="minorHAnsi" w:hAnsiTheme="minorHAnsi"/>
          <w:lang w:val="el-GR"/>
        </w:rPr>
        <w:t>e C</w:t>
      </w:r>
      <w:r w:rsidR="00A40ED7" w:rsidRPr="00087BF1">
        <w:rPr>
          <w:rFonts w:asciiTheme="minorHAnsi" w:hAnsiTheme="minorHAnsi"/>
          <w:lang w:val="el-GR"/>
        </w:rPr>
        <w:t>ο</w:t>
      </w:r>
      <w:r w:rsidRPr="00087BF1">
        <w:rPr>
          <w:rFonts w:asciiTheme="minorHAnsi" w:hAnsiTheme="minorHAnsi"/>
          <w:lang w:val="el-GR"/>
        </w:rPr>
        <w:t>mm</w:t>
      </w:r>
      <w:r w:rsidR="00A40ED7" w:rsidRPr="00087BF1">
        <w:rPr>
          <w:rFonts w:asciiTheme="minorHAnsi" w:hAnsiTheme="minorHAnsi"/>
          <w:lang w:val="el-GR"/>
        </w:rPr>
        <w:t>ο</w:t>
      </w:r>
      <w:r w:rsidRPr="00087BF1">
        <w:rPr>
          <w:rFonts w:asciiTheme="minorHAnsi" w:hAnsiTheme="minorHAnsi"/>
          <w:lang w:val="el-GR"/>
        </w:rPr>
        <w:t xml:space="preserve">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087BF1" w:rsidRDefault="00794F0C" w:rsidP="00794F0C">
      <w:p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087BF1" w:rsidRDefault="00622D8C" w:rsidP="00622D8C">
      <w:pPr>
        <w:jc w:val="center"/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12739969" wp14:editId="77D1021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087BF1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A40ED7"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ec</w:t>
      </w:r>
      <w:r w:rsidR="00A40ED7"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mm</w:t>
      </w:r>
      <w:r w:rsidR="00A40ED7"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ns.</w:t>
      </w:r>
      <w:r w:rsidR="00A40ED7"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rg/licenses/by-nc-sa/4.0/ </w:t>
      </w:r>
    </w:p>
    <w:p w:rsidR="00794F0C" w:rsidRPr="00087BF1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087BF1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087BF1" w:rsidRDefault="00794F0C" w:rsidP="00103D3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087BF1" w:rsidRDefault="00794F0C" w:rsidP="00103D3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087BF1" w:rsidRDefault="00794F0C" w:rsidP="00103D3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087BF1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087BF1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087BF1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087BF1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087BF1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087BF1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087BF1" w:rsidTr="00021A16">
        <w:tc>
          <w:tcPr>
            <w:tcW w:w="2093" w:type="dxa"/>
          </w:tcPr>
          <w:p w:rsidR="00794F0C" w:rsidRPr="00087BF1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87BF1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087BF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087BF1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087BF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087BF1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087BF1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087BF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087BF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με άδεια CC0 Public D</w:t>
            </w:r>
            <w:r w:rsidR="00A40ED7" w:rsidRPr="00087BF1">
              <w:rPr>
                <w:rFonts w:asciiTheme="minorHAnsi" w:hAnsiTheme="minorHAnsi"/>
                <w:lang w:val="el-GR"/>
              </w:rPr>
              <w:t>ο</w:t>
            </w:r>
            <w:r w:rsidRPr="00087BF1">
              <w:rPr>
                <w:rFonts w:asciiTheme="minorHAnsi" w:hAnsiTheme="minorHAnsi"/>
                <w:lang w:val="el-GR"/>
              </w:rPr>
              <w:t>main</w:t>
            </w:r>
          </w:p>
        </w:tc>
        <w:tc>
          <w:tcPr>
            <w:tcW w:w="6429" w:type="dxa"/>
          </w:tcPr>
          <w:p w:rsidR="00794F0C" w:rsidRPr="00087BF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087BF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087BF1" w:rsidTr="00021A16">
        <w:tc>
          <w:tcPr>
            <w:tcW w:w="2093" w:type="dxa"/>
          </w:tcPr>
          <w:p w:rsidR="00794F0C" w:rsidRPr="00087BF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087BF1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087BF1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087BF1" w:rsidRDefault="00794F0C" w:rsidP="00622D8C">
      <w:pPr>
        <w:rPr>
          <w:rFonts w:asciiTheme="minorHAnsi" w:hAnsiTheme="minorHAnsi"/>
          <w:lang w:val="el-GR"/>
        </w:rPr>
      </w:pPr>
    </w:p>
    <w:p w:rsidR="00021A16" w:rsidRPr="00087BF1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087BF1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087BF1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087BF1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087BF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>Τ</w:t>
      </w:r>
      <w:r w:rsidR="00622D8C" w:rsidRPr="00087BF1">
        <w:rPr>
          <w:rFonts w:asciiTheme="minorHAnsi" w:hAnsiTheme="minorHAnsi"/>
          <w:lang w:val="el-GR"/>
        </w:rPr>
        <w:t>ο Σημείωμα Αναφοράς</w:t>
      </w:r>
    </w:p>
    <w:p w:rsidR="00622D8C" w:rsidRPr="00087BF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>Τ</w:t>
      </w:r>
      <w:r w:rsidR="00622D8C" w:rsidRPr="00087BF1">
        <w:rPr>
          <w:rFonts w:asciiTheme="minorHAnsi" w:hAnsiTheme="minorHAnsi"/>
          <w:lang w:val="el-GR"/>
        </w:rPr>
        <w:t>ο Σημείωμα Αδειοδότησης</w:t>
      </w:r>
    </w:p>
    <w:p w:rsidR="00622D8C" w:rsidRPr="00087BF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>Τ</w:t>
      </w:r>
      <w:r w:rsidR="00622D8C" w:rsidRPr="00087BF1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087BF1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087BF1">
        <w:rPr>
          <w:rFonts w:asciiTheme="minorHAnsi" w:hAnsiTheme="minorHAnsi"/>
          <w:lang w:val="el-GR"/>
        </w:rPr>
        <w:t>Τ</w:t>
      </w:r>
      <w:r w:rsidR="00622D8C" w:rsidRPr="00087BF1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087BF1">
        <w:rPr>
          <w:rFonts w:asciiTheme="minorHAnsi" w:hAnsiTheme="minorHAnsi"/>
          <w:lang w:val="el-GR"/>
        </w:rPr>
        <w:t xml:space="preserve"> </w:t>
      </w:r>
      <w:r w:rsidR="00622D8C" w:rsidRPr="00087BF1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087BF1" w:rsidRDefault="00021A16">
      <w:pPr>
        <w:rPr>
          <w:rFonts w:asciiTheme="minorHAnsi" w:hAnsiTheme="minorHAnsi"/>
          <w:lang w:val="el-GR"/>
        </w:rPr>
      </w:pPr>
    </w:p>
    <w:sectPr w:rsidR="00021A16" w:rsidRPr="00087BF1" w:rsidSect="00E10403">
      <w:footerReference w:type="defaul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087BF1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1EC0"/>
    <w:multiLevelType w:val="hybridMultilevel"/>
    <w:tmpl w:val="B7DCF3A0"/>
    <w:lvl w:ilvl="0" w:tplc="B25636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80AC2"/>
    <w:multiLevelType w:val="hybridMultilevel"/>
    <w:tmpl w:val="B8622B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49067A"/>
    <w:multiLevelType w:val="hybridMultilevel"/>
    <w:tmpl w:val="72A477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6640C"/>
    <w:rsid w:val="00082C02"/>
    <w:rsid w:val="00087BF1"/>
    <w:rsid w:val="00091342"/>
    <w:rsid w:val="000B1FEC"/>
    <w:rsid w:val="000E0BD3"/>
    <w:rsid w:val="00103D34"/>
    <w:rsid w:val="00110ADD"/>
    <w:rsid w:val="00124510"/>
    <w:rsid w:val="00145B5F"/>
    <w:rsid w:val="001509F1"/>
    <w:rsid w:val="00156ABF"/>
    <w:rsid w:val="0017308B"/>
    <w:rsid w:val="0019501F"/>
    <w:rsid w:val="001D479D"/>
    <w:rsid w:val="00224459"/>
    <w:rsid w:val="002312E0"/>
    <w:rsid w:val="00232E0A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25298"/>
    <w:rsid w:val="00443DC2"/>
    <w:rsid w:val="00492406"/>
    <w:rsid w:val="004B683B"/>
    <w:rsid w:val="004D22C5"/>
    <w:rsid w:val="004F6F1A"/>
    <w:rsid w:val="0051708A"/>
    <w:rsid w:val="00524A80"/>
    <w:rsid w:val="00546CC1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4F0C"/>
    <w:rsid w:val="00796961"/>
    <w:rsid w:val="00797D0C"/>
    <w:rsid w:val="007A718D"/>
    <w:rsid w:val="007C14DB"/>
    <w:rsid w:val="00800D97"/>
    <w:rsid w:val="00801848"/>
    <w:rsid w:val="00813B7B"/>
    <w:rsid w:val="00831DD5"/>
    <w:rsid w:val="0083265C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40ED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A7F65"/>
    <w:rsid w:val="00BD3346"/>
    <w:rsid w:val="00BF0B9D"/>
    <w:rsid w:val="00C326BF"/>
    <w:rsid w:val="00C34768"/>
    <w:rsid w:val="00C457C1"/>
    <w:rsid w:val="00C6472A"/>
    <w:rsid w:val="00C71C68"/>
    <w:rsid w:val="00C7453C"/>
    <w:rsid w:val="00C75A5C"/>
    <w:rsid w:val="00C77E34"/>
    <w:rsid w:val="00C846D0"/>
    <w:rsid w:val="00C94E74"/>
    <w:rsid w:val="00CC3445"/>
    <w:rsid w:val="00CD3DCF"/>
    <w:rsid w:val="00CE2CAB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A5411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6640C"/>
    <w:pPr>
      <w:numPr>
        <w:numId w:val="2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640C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6640C"/>
    <w:pPr>
      <w:numPr>
        <w:numId w:val="2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640C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%5b1%5d%20http:/creativecommons.org/licenses/by-nc-sa/4.0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file:///C:\Users\pantelis\Downloads\%5b1%5d%20http:\creativecommons.org\licenses\by-nc-sa\4.0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cp.teiath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CCFA-BF34-4526-9EFA-E6D029B7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1613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13</cp:revision>
  <dcterms:created xsi:type="dcterms:W3CDTF">2015-02-13T06:51:00Z</dcterms:created>
  <dcterms:modified xsi:type="dcterms:W3CDTF">2015-07-21T07:23:00Z</dcterms:modified>
</cp:coreProperties>
</file>