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DB5DCB" w:rsidRDefault="00DB5DCB" w:rsidP="00E37F8E">
      <w:pPr>
        <w:pStyle w:val="a3"/>
        <w:rPr>
          <w:rFonts w:ascii="Calibri" w:hAnsi="Calibri" w:cs="Calibri"/>
          <w:lang w:val="en-US"/>
        </w:rPr>
      </w:pPr>
      <w:r>
        <w:rPr>
          <w:rFonts w:ascii="Calibri" w:hAnsi="Calibri" w:cs="Calibri"/>
        </w:rPr>
        <w:t>Αισθητική προσώπου Ι</w:t>
      </w:r>
      <w:r>
        <w:rPr>
          <w:rFonts w:ascii="Calibri" w:hAnsi="Calibri" w:cs="Calibri"/>
          <w:lang w:val="en-US"/>
        </w:rPr>
        <w:t xml:space="preserve"> </w:t>
      </w:r>
      <w:r w:rsidRPr="00DB5DCB">
        <w:rPr>
          <w:rFonts w:ascii="Calibri" w:hAnsi="Calibri" w:cs="Calibri"/>
          <w:lang w:val="en-US"/>
        </w:rPr>
        <w:t>(Θ)</w:t>
      </w:r>
    </w:p>
    <w:p w:rsidR="00E37F8E" w:rsidRPr="00DF2B76" w:rsidRDefault="00E37F8E" w:rsidP="00E37F8E">
      <w:pPr>
        <w:rPr>
          <w:rFonts w:cs="Calibri"/>
          <w:b/>
          <w:bCs/>
          <w:sz w:val="28"/>
          <w:szCs w:val="28"/>
        </w:rPr>
      </w:pPr>
      <w:r w:rsidRPr="006071F6">
        <w:rPr>
          <w:rFonts w:cs="Calibri"/>
          <w:b/>
          <w:bCs/>
          <w:sz w:val="28"/>
          <w:szCs w:val="28"/>
        </w:rPr>
        <w:t>Εν</w:t>
      </w:r>
      <w:r>
        <w:rPr>
          <w:rFonts w:cs="Calibri"/>
          <w:b/>
          <w:bCs/>
          <w:sz w:val="28"/>
          <w:szCs w:val="28"/>
        </w:rPr>
        <w:t xml:space="preserve">ότητα </w:t>
      </w:r>
      <w:r w:rsidR="00FD5660">
        <w:rPr>
          <w:rFonts w:cs="Calibri"/>
          <w:b/>
          <w:bCs/>
          <w:sz w:val="28"/>
          <w:szCs w:val="28"/>
        </w:rPr>
        <w:t>11</w:t>
      </w:r>
      <w:r w:rsidRPr="006071F6">
        <w:rPr>
          <w:rFonts w:cs="Calibri"/>
          <w:b/>
          <w:bCs/>
          <w:sz w:val="28"/>
          <w:szCs w:val="28"/>
        </w:rPr>
        <w:t xml:space="preserve">: </w:t>
      </w:r>
      <w:r>
        <w:rPr>
          <w:rFonts w:cs="Calibri"/>
          <w:b/>
          <w:bCs/>
          <w:sz w:val="28"/>
          <w:szCs w:val="28"/>
        </w:rPr>
        <w:t>Βαθύς καθαρισμός</w:t>
      </w:r>
      <w:r w:rsidR="00FD5660">
        <w:rPr>
          <w:rFonts w:cs="Calibri"/>
          <w:b/>
          <w:bCs/>
          <w:sz w:val="28"/>
          <w:szCs w:val="28"/>
        </w:rPr>
        <w:t xml:space="preserve"> (ε</w:t>
      </w:r>
      <w:r w:rsidR="00B853A2">
        <w:rPr>
          <w:rFonts w:cs="Calibri"/>
          <w:b/>
          <w:bCs/>
          <w:sz w:val="28"/>
          <w:szCs w:val="28"/>
        </w:rPr>
        <w:t>’ μέρος)</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745B07">
        <w:trPr>
          <w:trHeight w:val="2124"/>
        </w:trPr>
        <w:tc>
          <w:tcPr>
            <w:tcW w:w="3369" w:type="dxa"/>
          </w:tcPr>
          <w:p w:rsidR="00E37F8E" w:rsidRPr="00AB417C" w:rsidRDefault="00E37F8E" w:rsidP="00745B0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745B0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745B0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745B0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3D2038">
      <w:pPr>
        <w:jc w:val="center"/>
        <w:outlineLvl w:val="0"/>
        <w:rPr>
          <w:b/>
          <w:sz w:val="32"/>
          <w:szCs w:val="32"/>
        </w:rPr>
      </w:pPr>
      <w:r>
        <w:rPr>
          <w:b/>
          <w:sz w:val="32"/>
          <w:szCs w:val="32"/>
        </w:rPr>
        <w:br w:type="page"/>
      </w:r>
    </w:p>
    <w:p w:rsidR="00E37F8E" w:rsidRDefault="00E37F8E">
      <w:pPr>
        <w:pStyle w:val="a4"/>
      </w:pPr>
      <w:r>
        <w:lastRenderedPageBreak/>
        <w:t>Περιεχόμενα</w:t>
      </w:r>
    </w:p>
    <w:p w:rsidR="008D0E21" w:rsidRDefault="00E37F8E">
      <w:pPr>
        <w:pStyle w:val="10"/>
        <w:tabs>
          <w:tab w:val="left" w:pos="440"/>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0329149" w:history="1">
        <w:r w:rsidR="008D0E21" w:rsidRPr="006513FB">
          <w:rPr>
            <w:rStyle w:val="-"/>
            <w:noProof/>
          </w:rPr>
          <w:t>7.</w:t>
        </w:r>
        <w:r w:rsidR="008D0E21">
          <w:rPr>
            <w:rFonts w:asciiTheme="minorHAnsi" w:eastAsiaTheme="minorEastAsia" w:hAnsiTheme="minorHAnsi" w:cstheme="minorBidi"/>
            <w:noProof/>
            <w:lang w:eastAsia="el-GR"/>
          </w:rPr>
          <w:tab/>
        </w:r>
        <w:r w:rsidR="008D0E21" w:rsidRPr="006513FB">
          <w:rPr>
            <w:rStyle w:val="-"/>
            <w:noProof/>
          </w:rPr>
          <w:t>ΜΑΣΚΕΣ ΠΡΟΣΩΠΟΥ</w:t>
        </w:r>
        <w:r w:rsidR="008D0E21">
          <w:rPr>
            <w:noProof/>
            <w:webHidden/>
          </w:rPr>
          <w:tab/>
        </w:r>
        <w:r w:rsidR="008D0E21">
          <w:rPr>
            <w:noProof/>
            <w:webHidden/>
          </w:rPr>
          <w:fldChar w:fldCharType="begin"/>
        </w:r>
        <w:r w:rsidR="008D0E21">
          <w:rPr>
            <w:noProof/>
            <w:webHidden/>
          </w:rPr>
          <w:instrText xml:space="preserve"> PAGEREF _Toc420329149 \h </w:instrText>
        </w:r>
        <w:r w:rsidR="008D0E21">
          <w:rPr>
            <w:noProof/>
            <w:webHidden/>
          </w:rPr>
        </w:r>
        <w:r w:rsidR="008D0E21">
          <w:rPr>
            <w:noProof/>
            <w:webHidden/>
          </w:rPr>
          <w:fldChar w:fldCharType="separate"/>
        </w:r>
        <w:r w:rsidR="008D0E21">
          <w:rPr>
            <w:noProof/>
            <w:webHidden/>
          </w:rPr>
          <w:t>3</w:t>
        </w:r>
        <w:r w:rsidR="008D0E21">
          <w:rPr>
            <w:noProof/>
            <w:webHidden/>
          </w:rPr>
          <w:fldChar w:fldCharType="end"/>
        </w:r>
      </w:hyperlink>
    </w:p>
    <w:p w:rsidR="008D0E21" w:rsidRDefault="00DB5DCB">
      <w:pPr>
        <w:pStyle w:val="20"/>
        <w:tabs>
          <w:tab w:val="right" w:leader="dot" w:pos="9736"/>
        </w:tabs>
        <w:rPr>
          <w:rFonts w:asciiTheme="minorHAnsi" w:eastAsiaTheme="minorEastAsia" w:hAnsiTheme="minorHAnsi" w:cstheme="minorBidi"/>
          <w:noProof/>
          <w:lang w:eastAsia="el-GR"/>
        </w:rPr>
      </w:pPr>
      <w:hyperlink w:anchor="_Toc420329150" w:history="1">
        <w:r w:rsidR="008D0E21" w:rsidRPr="006513FB">
          <w:rPr>
            <w:rStyle w:val="-"/>
            <w:noProof/>
          </w:rPr>
          <w:t>Μέθοδος</w:t>
        </w:r>
        <w:r w:rsidR="008D0E21">
          <w:rPr>
            <w:noProof/>
            <w:webHidden/>
          </w:rPr>
          <w:tab/>
        </w:r>
        <w:r w:rsidR="008D0E21">
          <w:rPr>
            <w:noProof/>
            <w:webHidden/>
          </w:rPr>
          <w:fldChar w:fldCharType="begin"/>
        </w:r>
        <w:r w:rsidR="008D0E21">
          <w:rPr>
            <w:noProof/>
            <w:webHidden/>
          </w:rPr>
          <w:instrText xml:space="preserve"> PAGEREF _Toc420329150 \h </w:instrText>
        </w:r>
        <w:r w:rsidR="008D0E21">
          <w:rPr>
            <w:noProof/>
            <w:webHidden/>
          </w:rPr>
        </w:r>
        <w:r w:rsidR="008D0E21">
          <w:rPr>
            <w:noProof/>
            <w:webHidden/>
          </w:rPr>
          <w:fldChar w:fldCharType="separate"/>
        </w:r>
        <w:r w:rsidR="008D0E21">
          <w:rPr>
            <w:noProof/>
            <w:webHidden/>
          </w:rPr>
          <w:t>3</w:t>
        </w:r>
        <w:r w:rsidR="008D0E21">
          <w:rPr>
            <w:noProof/>
            <w:webHidden/>
          </w:rPr>
          <w:fldChar w:fldCharType="end"/>
        </w:r>
      </w:hyperlink>
    </w:p>
    <w:p w:rsidR="008D0E21" w:rsidRDefault="00DB5DCB">
      <w:pPr>
        <w:pStyle w:val="20"/>
        <w:tabs>
          <w:tab w:val="right" w:leader="dot" w:pos="9736"/>
        </w:tabs>
        <w:rPr>
          <w:rFonts w:asciiTheme="minorHAnsi" w:eastAsiaTheme="minorEastAsia" w:hAnsiTheme="minorHAnsi" w:cstheme="minorBidi"/>
          <w:noProof/>
          <w:lang w:eastAsia="el-GR"/>
        </w:rPr>
      </w:pPr>
      <w:hyperlink w:anchor="_Toc420329151" w:history="1">
        <w:r w:rsidR="008D0E21" w:rsidRPr="006513FB">
          <w:rPr>
            <w:rStyle w:val="-"/>
            <w:noProof/>
          </w:rPr>
          <w:t>Αντενδείξεις</w:t>
        </w:r>
        <w:r w:rsidR="008D0E21">
          <w:rPr>
            <w:noProof/>
            <w:webHidden/>
          </w:rPr>
          <w:tab/>
        </w:r>
        <w:r w:rsidR="008D0E21">
          <w:rPr>
            <w:noProof/>
            <w:webHidden/>
          </w:rPr>
          <w:fldChar w:fldCharType="begin"/>
        </w:r>
        <w:r w:rsidR="008D0E21">
          <w:rPr>
            <w:noProof/>
            <w:webHidden/>
          </w:rPr>
          <w:instrText xml:space="preserve"> PAGEREF _Toc420329151 \h </w:instrText>
        </w:r>
        <w:r w:rsidR="008D0E21">
          <w:rPr>
            <w:noProof/>
            <w:webHidden/>
          </w:rPr>
        </w:r>
        <w:r w:rsidR="008D0E21">
          <w:rPr>
            <w:noProof/>
            <w:webHidden/>
          </w:rPr>
          <w:fldChar w:fldCharType="separate"/>
        </w:r>
        <w:r w:rsidR="008D0E21">
          <w:rPr>
            <w:noProof/>
            <w:webHidden/>
          </w:rPr>
          <w:t>3</w:t>
        </w:r>
        <w:r w:rsidR="008D0E21">
          <w:rPr>
            <w:noProof/>
            <w:webHidden/>
          </w:rPr>
          <w:fldChar w:fldCharType="end"/>
        </w:r>
      </w:hyperlink>
    </w:p>
    <w:p w:rsidR="008D0E21" w:rsidRDefault="00DB5DCB">
      <w:pPr>
        <w:pStyle w:val="20"/>
        <w:tabs>
          <w:tab w:val="right" w:leader="dot" w:pos="9736"/>
        </w:tabs>
        <w:rPr>
          <w:rFonts w:asciiTheme="minorHAnsi" w:eastAsiaTheme="minorEastAsia" w:hAnsiTheme="minorHAnsi" w:cstheme="minorBidi"/>
          <w:noProof/>
          <w:lang w:eastAsia="el-GR"/>
        </w:rPr>
      </w:pPr>
      <w:hyperlink w:anchor="_Toc420329152" w:history="1">
        <w:r w:rsidR="008D0E21" w:rsidRPr="006513FB">
          <w:rPr>
            <w:rStyle w:val="-"/>
            <w:noProof/>
          </w:rPr>
          <w:t>Ταξινόμηση μασκών προσώπου</w:t>
        </w:r>
        <w:r w:rsidR="008D0E21">
          <w:rPr>
            <w:noProof/>
            <w:webHidden/>
          </w:rPr>
          <w:tab/>
        </w:r>
        <w:r w:rsidR="008D0E21">
          <w:rPr>
            <w:noProof/>
            <w:webHidden/>
          </w:rPr>
          <w:fldChar w:fldCharType="begin"/>
        </w:r>
        <w:r w:rsidR="008D0E21">
          <w:rPr>
            <w:noProof/>
            <w:webHidden/>
          </w:rPr>
          <w:instrText xml:space="preserve"> PAGEREF _Toc420329152 \h </w:instrText>
        </w:r>
        <w:r w:rsidR="008D0E21">
          <w:rPr>
            <w:noProof/>
            <w:webHidden/>
          </w:rPr>
        </w:r>
        <w:r w:rsidR="008D0E21">
          <w:rPr>
            <w:noProof/>
            <w:webHidden/>
          </w:rPr>
          <w:fldChar w:fldCharType="separate"/>
        </w:r>
        <w:r w:rsidR="008D0E21">
          <w:rPr>
            <w:noProof/>
            <w:webHidden/>
          </w:rPr>
          <w:t>4</w:t>
        </w:r>
        <w:r w:rsidR="008D0E21">
          <w:rPr>
            <w:noProof/>
            <w:webHidden/>
          </w:rPr>
          <w:fldChar w:fldCharType="end"/>
        </w:r>
      </w:hyperlink>
    </w:p>
    <w:p w:rsidR="008D0E21" w:rsidRDefault="00DB5DCB">
      <w:pPr>
        <w:pStyle w:val="30"/>
        <w:tabs>
          <w:tab w:val="right" w:leader="dot" w:pos="9736"/>
        </w:tabs>
        <w:rPr>
          <w:rFonts w:asciiTheme="minorHAnsi" w:eastAsiaTheme="minorEastAsia" w:hAnsiTheme="minorHAnsi" w:cstheme="minorBidi"/>
          <w:noProof/>
          <w:lang w:eastAsia="el-GR"/>
        </w:rPr>
      </w:pPr>
      <w:hyperlink w:anchor="_Toc420329153" w:history="1">
        <w:r w:rsidR="008D0E21" w:rsidRPr="006513FB">
          <w:rPr>
            <w:rStyle w:val="-"/>
            <w:noProof/>
          </w:rPr>
          <w:t>Μάσκες</w:t>
        </w:r>
        <w:r w:rsidR="008D0E21" w:rsidRPr="006513FB">
          <w:rPr>
            <w:rStyle w:val="-"/>
            <w:noProof/>
            <w:lang w:val="en-GB"/>
          </w:rPr>
          <w:t xml:space="preserve"> </w:t>
        </w:r>
        <w:r w:rsidR="008D0E21" w:rsidRPr="006513FB">
          <w:rPr>
            <w:rStyle w:val="-"/>
            <w:noProof/>
          </w:rPr>
          <w:t>κηρών</w:t>
        </w:r>
        <w:r w:rsidR="008D0E21" w:rsidRPr="006513FB">
          <w:rPr>
            <w:rStyle w:val="-"/>
            <w:noProof/>
            <w:lang w:val="en-GB"/>
          </w:rPr>
          <w:t xml:space="preserve"> (</w:t>
        </w:r>
        <w:r w:rsidR="008D0E21" w:rsidRPr="006513FB">
          <w:rPr>
            <w:rStyle w:val="-"/>
            <w:noProof/>
            <w:lang w:val="en-US"/>
          </w:rPr>
          <w:t>wax – based masks)</w:t>
        </w:r>
        <w:r w:rsidR="008D0E21">
          <w:rPr>
            <w:noProof/>
            <w:webHidden/>
          </w:rPr>
          <w:tab/>
        </w:r>
        <w:r w:rsidR="008D0E21">
          <w:rPr>
            <w:noProof/>
            <w:webHidden/>
          </w:rPr>
          <w:fldChar w:fldCharType="begin"/>
        </w:r>
        <w:r w:rsidR="008D0E21">
          <w:rPr>
            <w:noProof/>
            <w:webHidden/>
          </w:rPr>
          <w:instrText xml:space="preserve"> PAGEREF _Toc420329153 \h </w:instrText>
        </w:r>
        <w:r w:rsidR="008D0E21">
          <w:rPr>
            <w:noProof/>
            <w:webHidden/>
          </w:rPr>
        </w:r>
        <w:r w:rsidR="008D0E21">
          <w:rPr>
            <w:noProof/>
            <w:webHidden/>
          </w:rPr>
          <w:fldChar w:fldCharType="separate"/>
        </w:r>
        <w:r w:rsidR="008D0E21">
          <w:rPr>
            <w:noProof/>
            <w:webHidden/>
          </w:rPr>
          <w:t>4</w:t>
        </w:r>
        <w:r w:rsidR="008D0E21">
          <w:rPr>
            <w:noProof/>
            <w:webHidden/>
          </w:rPr>
          <w:fldChar w:fldCharType="end"/>
        </w:r>
      </w:hyperlink>
    </w:p>
    <w:p w:rsidR="008D0E21" w:rsidRDefault="00DB5DCB">
      <w:pPr>
        <w:pStyle w:val="30"/>
        <w:tabs>
          <w:tab w:val="right" w:leader="dot" w:pos="9736"/>
        </w:tabs>
        <w:rPr>
          <w:rFonts w:asciiTheme="minorHAnsi" w:eastAsiaTheme="minorEastAsia" w:hAnsiTheme="minorHAnsi" w:cstheme="minorBidi"/>
          <w:noProof/>
          <w:lang w:eastAsia="el-GR"/>
        </w:rPr>
      </w:pPr>
      <w:hyperlink w:anchor="_Toc420329154" w:history="1">
        <w:r w:rsidR="008D0E21" w:rsidRPr="006513FB">
          <w:rPr>
            <w:rStyle w:val="-"/>
            <w:noProof/>
          </w:rPr>
          <w:t>Ελαστικές</w:t>
        </w:r>
        <w:r w:rsidR="008D0E21" w:rsidRPr="006513FB">
          <w:rPr>
            <w:rStyle w:val="-"/>
            <w:noProof/>
            <w:lang w:val="en-GB"/>
          </w:rPr>
          <w:t xml:space="preserve"> </w:t>
        </w:r>
        <w:r w:rsidR="008D0E21" w:rsidRPr="006513FB">
          <w:rPr>
            <w:rStyle w:val="-"/>
            <w:noProof/>
          </w:rPr>
          <w:t>μάσκες</w:t>
        </w:r>
        <w:r w:rsidR="008D0E21" w:rsidRPr="006513FB">
          <w:rPr>
            <w:rStyle w:val="-"/>
            <w:noProof/>
            <w:lang w:val="en-GB"/>
          </w:rPr>
          <w:t xml:space="preserve"> (</w:t>
        </w:r>
        <w:r w:rsidR="008D0E21" w:rsidRPr="006513FB">
          <w:rPr>
            <w:rStyle w:val="-"/>
            <w:noProof/>
            <w:lang w:val="en-US"/>
          </w:rPr>
          <w:t>Rubber – based masks)</w:t>
        </w:r>
        <w:r w:rsidR="008D0E21">
          <w:rPr>
            <w:noProof/>
            <w:webHidden/>
          </w:rPr>
          <w:tab/>
        </w:r>
        <w:r w:rsidR="008D0E21">
          <w:rPr>
            <w:noProof/>
            <w:webHidden/>
          </w:rPr>
          <w:fldChar w:fldCharType="begin"/>
        </w:r>
        <w:r w:rsidR="008D0E21">
          <w:rPr>
            <w:noProof/>
            <w:webHidden/>
          </w:rPr>
          <w:instrText xml:space="preserve"> PAGEREF _Toc420329154 \h </w:instrText>
        </w:r>
        <w:r w:rsidR="008D0E21">
          <w:rPr>
            <w:noProof/>
            <w:webHidden/>
          </w:rPr>
        </w:r>
        <w:r w:rsidR="008D0E21">
          <w:rPr>
            <w:noProof/>
            <w:webHidden/>
          </w:rPr>
          <w:fldChar w:fldCharType="separate"/>
        </w:r>
        <w:r w:rsidR="008D0E21">
          <w:rPr>
            <w:noProof/>
            <w:webHidden/>
          </w:rPr>
          <w:t>4</w:t>
        </w:r>
        <w:r w:rsidR="008D0E21">
          <w:rPr>
            <w:noProof/>
            <w:webHidden/>
          </w:rPr>
          <w:fldChar w:fldCharType="end"/>
        </w:r>
      </w:hyperlink>
    </w:p>
    <w:p w:rsidR="008D0E21" w:rsidRDefault="00DB5DCB">
      <w:pPr>
        <w:pStyle w:val="30"/>
        <w:tabs>
          <w:tab w:val="right" w:leader="dot" w:pos="9736"/>
        </w:tabs>
        <w:rPr>
          <w:rFonts w:asciiTheme="minorHAnsi" w:eastAsiaTheme="minorEastAsia" w:hAnsiTheme="minorHAnsi" w:cstheme="minorBidi"/>
          <w:noProof/>
          <w:lang w:eastAsia="el-GR"/>
        </w:rPr>
      </w:pPr>
      <w:hyperlink w:anchor="_Toc420329155" w:history="1">
        <w:r w:rsidR="008D0E21" w:rsidRPr="006513FB">
          <w:rPr>
            <w:rStyle w:val="-"/>
            <w:noProof/>
          </w:rPr>
          <w:t>Υδροκολλοειδείς μάσκες (</w:t>
        </w:r>
        <w:r w:rsidR="008D0E21" w:rsidRPr="006513FB">
          <w:rPr>
            <w:rStyle w:val="-"/>
            <w:noProof/>
            <w:lang w:val="en-US"/>
          </w:rPr>
          <w:t>Hydrocolloid</w:t>
        </w:r>
        <w:r w:rsidR="008D0E21" w:rsidRPr="006513FB">
          <w:rPr>
            <w:rStyle w:val="-"/>
            <w:noProof/>
          </w:rPr>
          <w:t xml:space="preserve"> – </w:t>
        </w:r>
        <w:r w:rsidR="008D0E21" w:rsidRPr="006513FB">
          <w:rPr>
            <w:rStyle w:val="-"/>
            <w:noProof/>
            <w:lang w:val="en-US"/>
          </w:rPr>
          <w:t>based</w:t>
        </w:r>
        <w:r w:rsidR="008D0E21" w:rsidRPr="006513FB">
          <w:rPr>
            <w:rStyle w:val="-"/>
            <w:noProof/>
          </w:rPr>
          <w:t xml:space="preserve"> – </w:t>
        </w:r>
        <w:r w:rsidR="008D0E21" w:rsidRPr="006513FB">
          <w:rPr>
            <w:rStyle w:val="-"/>
            <w:noProof/>
            <w:lang w:val="en-US"/>
          </w:rPr>
          <w:t>masks</w:t>
        </w:r>
        <w:r w:rsidR="008D0E21" w:rsidRPr="006513FB">
          <w:rPr>
            <w:rStyle w:val="-"/>
            <w:noProof/>
          </w:rPr>
          <w:t>)</w:t>
        </w:r>
        <w:r w:rsidR="008D0E21">
          <w:rPr>
            <w:noProof/>
            <w:webHidden/>
          </w:rPr>
          <w:tab/>
        </w:r>
        <w:r w:rsidR="008D0E21">
          <w:rPr>
            <w:noProof/>
            <w:webHidden/>
          </w:rPr>
          <w:fldChar w:fldCharType="begin"/>
        </w:r>
        <w:r w:rsidR="008D0E21">
          <w:rPr>
            <w:noProof/>
            <w:webHidden/>
          </w:rPr>
          <w:instrText xml:space="preserve"> PAGEREF _Toc420329155 \h </w:instrText>
        </w:r>
        <w:r w:rsidR="008D0E21">
          <w:rPr>
            <w:noProof/>
            <w:webHidden/>
          </w:rPr>
        </w:r>
        <w:r w:rsidR="008D0E21">
          <w:rPr>
            <w:noProof/>
            <w:webHidden/>
          </w:rPr>
          <w:fldChar w:fldCharType="separate"/>
        </w:r>
        <w:r w:rsidR="008D0E21">
          <w:rPr>
            <w:noProof/>
            <w:webHidden/>
          </w:rPr>
          <w:t>4</w:t>
        </w:r>
        <w:r w:rsidR="008D0E21">
          <w:rPr>
            <w:noProof/>
            <w:webHidden/>
          </w:rPr>
          <w:fldChar w:fldCharType="end"/>
        </w:r>
      </w:hyperlink>
    </w:p>
    <w:p w:rsidR="008D0E21" w:rsidRDefault="00DB5DCB">
      <w:pPr>
        <w:pStyle w:val="30"/>
        <w:tabs>
          <w:tab w:val="right" w:leader="dot" w:pos="9736"/>
        </w:tabs>
        <w:rPr>
          <w:rFonts w:asciiTheme="minorHAnsi" w:eastAsiaTheme="minorEastAsia" w:hAnsiTheme="minorHAnsi" w:cstheme="minorBidi"/>
          <w:noProof/>
          <w:lang w:eastAsia="el-GR"/>
        </w:rPr>
      </w:pPr>
      <w:hyperlink w:anchor="_Toc420329156" w:history="1">
        <w:r w:rsidR="008D0E21" w:rsidRPr="006513FB">
          <w:rPr>
            <w:rStyle w:val="-"/>
            <w:noProof/>
          </w:rPr>
          <w:t>Αργιλώδεις μάσκες (</w:t>
        </w:r>
        <w:r w:rsidR="008D0E21" w:rsidRPr="006513FB">
          <w:rPr>
            <w:rStyle w:val="-"/>
            <w:noProof/>
            <w:lang w:val="en-US"/>
          </w:rPr>
          <w:t>Argillaceous masks)</w:t>
        </w:r>
        <w:r w:rsidR="008D0E21">
          <w:rPr>
            <w:noProof/>
            <w:webHidden/>
          </w:rPr>
          <w:tab/>
        </w:r>
        <w:r w:rsidR="008D0E21">
          <w:rPr>
            <w:noProof/>
            <w:webHidden/>
          </w:rPr>
          <w:fldChar w:fldCharType="begin"/>
        </w:r>
        <w:r w:rsidR="008D0E21">
          <w:rPr>
            <w:noProof/>
            <w:webHidden/>
          </w:rPr>
          <w:instrText xml:space="preserve"> PAGEREF _Toc420329156 \h </w:instrText>
        </w:r>
        <w:r w:rsidR="008D0E21">
          <w:rPr>
            <w:noProof/>
            <w:webHidden/>
          </w:rPr>
        </w:r>
        <w:r w:rsidR="008D0E21">
          <w:rPr>
            <w:noProof/>
            <w:webHidden/>
          </w:rPr>
          <w:fldChar w:fldCharType="separate"/>
        </w:r>
        <w:r w:rsidR="008D0E21">
          <w:rPr>
            <w:noProof/>
            <w:webHidden/>
          </w:rPr>
          <w:t>5</w:t>
        </w:r>
        <w:r w:rsidR="008D0E21">
          <w:rPr>
            <w:noProof/>
            <w:webHidden/>
          </w:rPr>
          <w:fldChar w:fldCharType="end"/>
        </w:r>
      </w:hyperlink>
    </w:p>
    <w:p w:rsidR="008D0E21" w:rsidRDefault="00DB5DCB">
      <w:pPr>
        <w:pStyle w:val="10"/>
        <w:tabs>
          <w:tab w:val="left" w:pos="440"/>
          <w:tab w:val="right" w:leader="dot" w:pos="9736"/>
        </w:tabs>
        <w:rPr>
          <w:rFonts w:asciiTheme="minorHAnsi" w:eastAsiaTheme="minorEastAsia" w:hAnsiTheme="minorHAnsi" w:cstheme="minorBidi"/>
          <w:noProof/>
          <w:lang w:eastAsia="el-GR"/>
        </w:rPr>
      </w:pPr>
      <w:hyperlink w:anchor="_Toc420329157" w:history="1">
        <w:r w:rsidR="008D0E21" w:rsidRPr="006513FB">
          <w:rPr>
            <w:rStyle w:val="-"/>
            <w:noProof/>
          </w:rPr>
          <w:t>8.</w:t>
        </w:r>
        <w:r w:rsidR="008D0E21">
          <w:rPr>
            <w:rFonts w:asciiTheme="minorHAnsi" w:eastAsiaTheme="minorEastAsia" w:hAnsiTheme="minorHAnsi" w:cstheme="minorBidi"/>
            <w:noProof/>
            <w:lang w:eastAsia="el-GR"/>
          </w:rPr>
          <w:tab/>
        </w:r>
        <w:r w:rsidR="008D0E21" w:rsidRPr="006513FB">
          <w:rPr>
            <w:rStyle w:val="-"/>
            <w:noProof/>
          </w:rPr>
          <w:t>ΤΟΠΟΘΕΤΗΣΗ ΥΔΑΤΙΚΗΣ ΚΡΕΜΑΣ</w:t>
        </w:r>
        <w:r w:rsidR="008D0E21">
          <w:rPr>
            <w:noProof/>
            <w:webHidden/>
          </w:rPr>
          <w:tab/>
        </w:r>
        <w:r w:rsidR="008D0E21">
          <w:rPr>
            <w:noProof/>
            <w:webHidden/>
          </w:rPr>
          <w:fldChar w:fldCharType="begin"/>
        </w:r>
        <w:r w:rsidR="008D0E21">
          <w:rPr>
            <w:noProof/>
            <w:webHidden/>
          </w:rPr>
          <w:instrText xml:space="preserve"> PAGEREF _Toc420329157 \h </w:instrText>
        </w:r>
        <w:r w:rsidR="008D0E21">
          <w:rPr>
            <w:noProof/>
            <w:webHidden/>
          </w:rPr>
        </w:r>
        <w:r w:rsidR="008D0E21">
          <w:rPr>
            <w:noProof/>
            <w:webHidden/>
          </w:rPr>
          <w:fldChar w:fldCharType="separate"/>
        </w:r>
        <w:r w:rsidR="008D0E21">
          <w:rPr>
            <w:noProof/>
            <w:webHidden/>
          </w:rPr>
          <w:t>5</w:t>
        </w:r>
        <w:r w:rsidR="008D0E21">
          <w:rPr>
            <w:noProof/>
            <w:webHidden/>
          </w:rPr>
          <w:fldChar w:fldCharType="end"/>
        </w:r>
      </w:hyperlink>
    </w:p>
    <w:p w:rsidR="00E37F8E" w:rsidRDefault="00E37F8E">
      <w:r>
        <w:rPr>
          <w:b/>
          <w:bCs/>
        </w:rPr>
        <w:fldChar w:fldCharType="end"/>
      </w:r>
    </w:p>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p w:rsidR="003D2038" w:rsidRPr="00E37F8E" w:rsidRDefault="003D2038" w:rsidP="00E37F8E">
      <w:pPr>
        <w:pStyle w:val="a3"/>
      </w:pPr>
      <w:r w:rsidRPr="00E37F8E">
        <w:lastRenderedPageBreak/>
        <w:t>ΒΑΘΥΣ ΚΑΘΑΡΙΣΜΟΣ</w:t>
      </w:r>
    </w:p>
    <w:p w:rsidR="003D2038" w:rsidRPr="00E37F8E" w:rsidRDefault="003D2038" w:rsidP="003D2038">
      <w:pPr>
        <w:jc w:val="both"/>
        <w:rPr>
          <w:rFonts w:asciiTheme="minorHAnsi" w:hAnsiTheme="minorHAnsi"/>
          <w:sz w:val="24"/>
          <w:szCs w:val="24"/>
        </w:rPr>
      </w:pPr>
    </w:p>
    <w:p w:rsidR="00A47F60" w:rsidRDefault="00643A2B" w:rsidP="00643A2B">
      <w:pPr>
        <w:pStyle w:val="1"/>
        <w:numPr>
          <w:ilvl w:val="0"/>
          <w:numId w:val="28"/>
        </w:numPr>
      </w:pPr>
      <w:bookmarkStart w:id="0" w:name="_Toc420329149"/>
      <w:r>
        <w:t>ΜΑΣΚΕΣ ΠΡΟΣΩΠΟΥ</w:t>
      </w:r>
      <w:bookmarkEnd w:id="0"/>
      <w:r w:rsidR="00A47F60" w:rsidRPr="009E52CB">
        <w:t xml:space="preserve"> </w:t>
      </w:r>
    </w:p>
    <w:p w:rsidR="00643A2B" w:rsidRPr="00643A2B" w:rsidRDefault="00643A2B" w:rsidP="00643A2B">
      <w:r w:rsidRPr="00643A2B">
        <w:t>Σ’ αυτό το σημείο απλώνουμε τη μάσκα, για να μειωθεί ο ερεθισμός του προσώπου, που έχει δημιουργηθεί από την μέχρι εδώ διαδικασία του καθαρισμού, και για να προκαλέσει σύσφιξη στους διεσταλμένους πόρους.</w:t>
      </w:r>
    </w:p>
    <w:p w:rsidR="00643A2B" w:rsidRPr="00643A2B" w:rsidRDefault="00643A2B" w:rsidP="00643A2B">
      <w:r w:rsidRPr="00643A2B">
        <w:t>Επιπλέον μια μάσκα χρησιμοποιείται για να τονώσει, να δώσει τροφή, ακόμη και να καθαρίσει την επιδερμίδα. Η δράση μιας μάσκας εξαρτάται από τα συστατικά που περιέχει.</w:t>
      </w:r>
    </w:p>
    <w:p w:rsidR="00643A2B" w:rsidRPr="00643A2B" w:rsidRDefault="00643A2B" w:rsidP="00643A2B"/>
    <w:p w:rsidR="00643A2B" w:rsidRPr="00643A2B" w:rsidRDefault="00643A2B" w:rsidP="00643A2B">
      <w:pPr>
        <w:pStyle w:val="2"/>
      </w:pPr>
      <w:bookmarkStart w:id="1" w:name="_Toc420329150"/>
      <w:r w:rsidRPr="00643A2B">
        <w:t>Μέθοδος</w:t>
      </w:r>
      <w:bookmarkEnd w:id="1"/>
    </w:p>
    <w:p w:rsidR="00643A2B" w:rsidRPr="00643A2B" w:rsidRDefault="00643A2B" w:rsidP="00643A2B">
      <w:r w:rsidRPr="00643A2B">
        <w:tab/>
        <w:t>Αφού καθαρίσουμε με λοσιόν το πρόσωπο και το λαιμό για να απομακρυνθούν τα υπολείμματα της κρέμας της μάλαξης, απλώνουμε τη μάσκα.</w:t>
      </w:r>
    </w:p>
    <w:p w:rsidR="00643A2B" w:rsidRPr="00643A2B" w:rsidRDefault="00643A2B" w:rsidP="00643A2B">
      <w:r w:rsidRPr="00643A2B">
        <w:tab/>
        <w:t>Η μάσκα απλώνεται με πινέλο, με σπάτουλα ή με το χέρι. Πρέπει να δουλεύουμε γρήγορα και προσεκτικά σ’ όλο το πρόσωπο και το λαιμό, αποφεύγοντας τα μάτια και την ευαίσθητη περιοχή γύρω απ’ αυτά, τα ρουθούνια, και το στόμα. Συνήθως κλείνουμε τα μάτια με βαμβάκι και αφήνουμε το άτομο να χαλαρώσει. Αν έχουμε ένα μικτό τύπο δέρματος μπορούμε να απλώσουμε συγχρόνως περισσότερες από μία μάσκες. Αφήνουμε τη μάσκα 5΄ - 20΄ ανάλογα με τον τύπο της και την κατάσταση του δέρματος. Αφαιρούμε τη μάσκα με σφουγγάρι ή βαμβάκι βουτηγμένο σε χλιαρό νερό. Πρέπει να προσέξουμε ώστε να μη μπει νερό στις κοιλότητες του προσώπου (μάτια, ρουθούνια, στόμα).</w:t>
      </w:r>
    </w:p>
    <w:p w:rsidR="00643A2B" w:rsidRPr="00643A2B" w:rsidRDefault="00643A2B" w:rsidP="00643A2B"/>
    <w:p w:rsidR="00643A2B" w:rsidRPr="00643A2B" w:rsidRDefault="00643A2B" w:rsidP="00643A2B">
      <w:pPr>
        <w:pStyle w:val="2"/>
      </w:pPr>
      <w:bookmarkStart w:id="2" w:name="_Toc420329151"/>
      <w:r w:rsidRPr="00643A2B">
        <w:t>Αντενδείξεις</w:t>
      </w:r>
      <w:bookmarkEnd w:id="2"/>
    </w:p>
    <w:p w:rsidR="00643A2B" w:rsidRPr="00643A2B" w:rsidRDefault="00643A2B" w:rsidP="00643A2B">
      <w:r w:rsidRPr="00643A2B">
        <w:t>Ευαίσθητα δέρματα</w:t>
      </w:r>
    </w:p>
    <w:p w:rsidR="00643A2B" w:rsidRPr="00643A2B" w:rsidRDefault="00643A2B" w:rsidP="00643A2B">
      <w:r w:rsidRPr="00643A2B">
        <w:t>Αλλεργικά δέρματα</w:t>
      </w:r>
    </w:p>
    <w:p w:rsidR="00643A2B" w:rsidRPr="00643A2B" w:rsidRDefault="00643A2B" w:rsidP="00643A2B">
      <w:r w:rsidRPr="00643A2B">
        <w:t>Σε πρόσφατα επουλωμένες πληγές</w:t>
      </w:r>
    </w:p>
    <w:p w:rsidR="00643A2B" w:rsidRPr="00643A2B" w:rsidRDefault="00643A2B" w:rsidP="00643A2B">
      <w:r w:rsidRPr="00643A2B">
        <w:t>Έντονες ευρυαγγείες</w:t>
      </w:r>
    </w:p>
    <w:p w:rsidR="00643A2B" w:rsidRPr="00643A2B" w:rsidRDefault="00643A2B" w:rsidP="00643A2B"/>
    <w:p w:rsidR="00643A2B" w:rsidRPr="00643A2B" w:rsidRDefault="00643A2B" w:rsidP="00643A2B">
      <w:r w:rsidRPr="00643A2B">
        <w:t>Οι μάσκες ήταν γνωστές από την αρχαιότητα. Περιείχαν διάφορες γαίες και είχαν μορφή κρέμας ή πάστας. Οι μάσκες που χρησιμοποιούνται σήμερα καταναλώνονται ευρέως λόγω των θετικών τους ιδιοτήτων. Δημιουργούν μία αίσθηση αναζωογόνησης στο δέρμα του προσώπου, λόγω των θερμαντικών και συσφικτικών τους ιδιοτήτων, ελαχιστοποιούν ή και εξαφανίζουν προσωρινά τις ρυτίδες απαλύνουν, καθαρίζουν ή και λευκαίνουν το δέρμα.</w:t>
      </w:r>
    </w:p>
    <w:p w:rsidR="00643A2B" w:rsidRPr="00643A2B" w:rsidRDefault="00643A2B" w:rsidP="00643A2B"/>
    <w:p w:rsidR="00643A2B" w:rsidRPr="00643A2B" w:rsidRDefault="00643A2B" w:rsidP="00643A2B">
      <w:r w:rsidRPr="00643A2B">
        <w:t>Απαραίτητες ιδιότητες μιας μάσκας</w:t>
      </w:r>
    </w:p>
    <w:p w:rsidR="00643A2B" w:rsidRPr="00643A2B" w:rsidRDefault="00643A2B" w:rsidP="00643A2B">
      <w:r w:rsidRPr="00643A2B">
        <w:lastRenderedPageBreak/>
        <w:t>Μια μάσκα για να είναι αποτελεσματική, θα πρέπει να έχει τις παρακάτω ιδιότητες: 1) Να είναι ομοιογενής να έχει μαλακή μάζα, χωρίς αμμώδη συστατικά και χωρίς δυσάρεστη οσμή. 2) Να απλώνεται εύκολα, να στεγνώσει γρήγορα, σχηματίζοντας ένα προσκολλημένο συνεχές στρώμα πάνω στο δέρμα, το οποίο να απομακρύνεται εύκολα με απλό τράβηγμα ή ελαφρό ξέπλυμα χωρίς να προκαλείται πόνος. 3) Να παρέχει μετά την εφαρμογή του, ένα αίσθημα σύσφιξης στο δέρμα. 4) Να αφαιρεί την λιπαρότητα και τα καθαρίζει αρκετά το δέρμα και 5) Να μην προκαλεί ερεθισμό ή ευαισθητοποίηση στο δέρμα.</w:t>
      </w:r>
    </w:p>
    <w:p w:rsidR="00643A2B" w:rsidRPr="00643A2B" w:rsidRDefault="00643A2B" w:rsidP="00643A2B">
      <w:r w:rsidRPr="00643A2B">
        <w:tab/>
        <w:t>Υπάρχουν πέντε βασικά συστήματα στην κοσμητολογία που πληρούν τις παραπάνω ιδιότητες. Αυτά έχουν σαν βάση, κηρούς, ελαστικά συστατικά, βινυλορητίνες, υδροκολλοειδή και γαίες. Ακόμη μπορεί να περιέχουν μαλακτικά, απορρυπαντικά, στηπτικά, αντικνησμώδη, συντηρητικά και αρώματα.</w:t>
      </w:r>
    </w:p>
    <w:p w:rsidR="00643A2B" w:rsidRPr="00643A2B" w:rsidRDefault="00643A2B" w:rsidP="00643A2B"/>
    <w:p w:rsidR="00643A2B" w:rsidRPr="00643A2B" w:rsidRDefault="00643A2B" w:rsidP="00643A2B">
      <w:pPr>
        <w:pStyle w:val="2"/>
      </w:pPr>
      <w:bookmarkStart w:id="3" w:name="_Toc420329152"/>
      <w:r w:rsidRPr="00643A2B">
        <w:t>Ταξινόμηση μασκών προσώπου</w:t>
      </w:r>
      <w:bookmarkEnd w:id="3"/>
    </w:p>
    <w:p w:rsidR="00643A2B" w:rsidRPr="00643A2B" w:rsidRDefault="00643A2B" w:rsidP="00643A2B">
      <w:r w:rsidRPr="00643A2B">
        <w:tab/>
        <w:t>Ανάλογα με την βασική τους σύσταση ταξινομούνται σε μάσκες κηρών, σε ελαστικές μάσκες, μάσκες βινυλορητινών υδροκολλοειδείς μάσκες, αργιλώδεις, σκληρές και μαλακές.</w:t>
      </w:r>
    </w:p>
    <w:p w:rsidR="00643A2B" w:rsidRPr="00643A2B" w:rsidRDefault="00643A2B" w:rsidP="00643A2B"/>
    <w:p w:rsidR="00643A2B" w:rsidRPr="00643A2B" w:rsidRDefault="00643A2B" w:rsidP="00643A2B">
      <w:pPr>
        <w:pStyle w:val="3"/>
        <w:rPr>
          <w:lang w:val="en-GB"/>
        </w:rPr>
      </w:pPr>
      <w:bookmarkStart w:id="4" w:name="_Toc420329153"/>
      <w:r w:rsidRPr="00643A2B">
        <w:t>Μάσκες</w:t>
      </w:r>
      <w:r w:rsidRPr="00643A2B">
        <w:rPr>
          <w:lang w:val="en-GB"/>
        </w:rPr>
        <w:t xml:space="preserve"> </w:t>
      </w:r>
      <w:r w:rsidRPr="00643A2B">
        <w:t>κηρών</w:t>
      </w:r>
      <w:r w:rsidRPr="00643A2B">
        <w:rPr>
          <w:lang w:val="en-GB"/>
        </w:rPr>
        <w:t xml:space="preserve"> (</w:t>
      </w:r>
      <w:r w:rsidRPr="00643A2B">
        <w:rPr>
          <w:lang w:val="en-US"/>
        </w:rPr>
        <w:t>wax – based masks)</w:t>
      </w:r>
      <w:bookmarkEnd w:id="4"/>
    </w:p>
    <w:p w:rsidR="00643A2B" w:rsidRPr="00643A2B" w:rsidRDefault="00643A2B" w:rsidP="00643A2B">
      <w:r w:rsidRPr="00643A2B">
        <w:t>Έχουν βασικό τους συστατικό τους κηρούς, ιδανικότερος ο κηρός παραφίνης καταλλήλου σημείου τήξεως, ή να είναι μίγματα κηρών με βαζελίνη και αλκοόλες, όπως κητυλική και στεαρυλική αλκοόλη. Τα προϊόντα αυτά είναι στερεά σε θερμοκρασία δωματίου και τήκονται στους 40°</w:t>
      </w:r>
      <w:r w:rsidRPr="00643A2B">
        <w:rPr>
          <w:lang w:val="en-US"/>
        </w:rPr>
        <w:t>C</w:t>
      </w:r>
      <w:r w:rsidRPr="00643A2B">
        <w:t xml:space="preserve"> περίπου με ελαφρά θέρμανση. Η μάζα που προκύπτει απλώνεται σε λεπτό στρώμα με πινέλο και αφήνεται να στερεοποιηθεί (15-30 </w:t>
      </w:r>
      <w:r w:rsidRPr="00643A2B">
        <w:rPr>
          <w:lang w:val="en-US"/>
        </w:rPr>
        <w:t>min</w:t>
      </w:r>
      <w:r w:rsidRPr="00643A2B">
        <w:t>). Κατά την στερεοποίησή του προκαλείται αίσθημα σύσφιξης, καθώς και έντονη εφίδρωση με αποτέλεσμα να ενυδατώνεται η κεράτινη στιβάδα και να καθαρίζει. Η προσθήκη μικρής ποσότητας ελαστικού κόμμεος, βοηθά στην εύκολη αποκόλληση και απομάκρυνση από το δέρμα του προσώπου. Στις μάσκες αυτές προστίθεται οργανόφιλος μπεντονίτης που μετατρέπει το προϊόν κατά την τήξη του σ’ ένα θιξοτροπικό ημιστερεό, με αποτέλεσμα την εύκολη εφαρμογή του.</w:t>
      </w:r>
    </w:p>
    <w:p w:rsidR="00643A2B" w:rsidRPr="00643A2B" w:rsidRDefault="00643A2B" w:rsidP="00643A2B"/>
    <w:p w:rsidR="00643A2B" w:rsidRPr="00643A2B" w:rsidRDefault="00643A2B" w:rsidP="00643A2B">
      <w:pPr>
        <w:pStyle w:val="3"/>
        <w:rPr>
          <w:lang w:val="en-GB"/>
        </w:rPr>
      </w:pPr>
      <w:bookmarkStart w:id="5" w:name="_Toc420329154"/>
      <w:r w:rsidRPr="00643A2B">
        <w:t>Ελαστικές</w:t>
      </w:r>
      <w:r w:rsidRPr="00643A2B">
        <w:rPr>
          <w:lang w:val="en-GB"/>
        </w:rPr>
        <w:t xml:space="preserve"> </w:t>
      </w:r>
      <w:r w:rsidRPr="00643A2B">
        <w:t>μάσκες</w:t>
      </w:r>
      <w:r w:rsidRPr="00643A2B">
        <w:rPr>
          <w:lang w:val="en-GB"/>
        </w:rPr>
        <w:t xml:space="preserve"> (</w:t>
      </w:r>
      <w:r w:rsidRPr="00643A2B">
        <w:rPr>
          <w:lang w:val="en-US"/>
        </w:rPr>
        <w:t>Rubber – based masks)</w:t>
      </w:r>
      <w:bookmarkEnd w:id="5"/>
    </w:p>
    <w:p w:rsidR="00643A2B" w:rsidRPr="00643A2B" w:rsidRDefault="00643A2B" w:rsidP="00643A2B">
      <w:r w:rsidRPr="00643A2B">
        <w:t>Οι ελαστικές μάσκες μετά την εφαρμογή και την πήξη του, δημιουργούν ένα συνεχές, ελαστικό και αδιαπέρατο από το νερό στρώμα, με αποτέλεσμα την παρεμπόδιση της φυσιολογικής αναπνοής του δέρματος. Η θερμότητα που εκλύεται συγκρατείται στο δέρμα, με συνέπεια την αύξηση της θερμοκρασίας στο δέρμα, την αύξηση της κυκλοφορίας του αίματος και την πρόκληση υπεραιμίας. Οι μάσκες αυτές απομακρύνονται εύκολα από το δέρμα με απλό τράβηγμα. Μετά την απομάκρυνση της μάσκας, πιθανόν να παραμείνει οίδημα που εξαφανίζεται μετά από λίγα λεπτά της ώρας και η αναπνοή του δέρματος γίνεται κανονική.</w:t>
      </w:r>
    </w:p>
    <w:p w:rsidR="00643A2B" w:rsidRPr="00643A2B" w:rsidRDefault="00643A2B" w:rsidP="00643A2B"/>
    <w:p w:rsidR="00643A2B" w:rsidRPr="00643A2B" w:rsidRDefault="00643A2B" w:rsidP="00643A2B">
      <w:pPr>
        <w:pStyle w:val="3"/>
      </w:pPr>
      <w:bookmarkStart w:id="6" w:name="_Toc420329155"/>
      <w:r w:rsidRPr="00643A2B">
        <w:t>Υδροκολλοειδείς μάσκες (</w:t>
      </w:r>
      <w:r w:rsidRPr="00643A2B">
        <w:rPr>
          <w:lang w:val="en-US"/>
        </w:rPr>
        <w:t>Hydrocolloid</w:t>
      </w:r>
      <w:r w:rsidRPr="00643A2B">
        <w:t xml:space="preserve"> – </w:t>
      </w:r>
      <w:r w:rsidRPr="00643A2B">
        <w:rPr>
          <w:lang w:val="en-US"/>
        </w:rPr>
        <w:t>based</w:t>
      </w:r>
      <w:r w:rsidRPr="00643A2B">
        <w:t xml:space="preserve"> – </w:t>
      </w:r>
      <w:r w:rsidRPr="00643A2B">
        <w:rPr>
          <w:lang w:val="en-US"/>
        </w:rPr>
        <w:t>masks</w:t>
      </w:r>
      <w:r w:rsidRPr="00643A2B">
        <w:t>)</w:t>
      </w:r>
      <w:bookmarkEnd w:id="6"/>
    </w:p>
    <w:p w:rsidR="00643A2B" w:rsidRPr="00643A2B" w:rsidRDefault="00643A2B" w:rsidP="00643A2B">
      <w:r w:rsidRPr="00643A2B">
        <w:t xml:space="preserve">Τα προϊόντα αυτού του είδους, μπορεί να είναι υγρά, κολλοειδή συστήματα, υψηλού ιξώδους, τα οποία μετά την εφαρμογή τους κάνουν το περιεχόμενο στη μάζα τους νερό και σχηματίζουν ένα ελαστικό στρώμα γέλης ή στερεές γέλες, οι οποίες τήκονται, πριν εφαρμοσθούν στο πρόσωπο. Η σύσφιξη που προκαλείται </w:t>
      </w:r>
      <w:r w:rsidRPr="00643A2B">
        <w:lastRenderedPageBreak/>
        <w:t xml:space="preserve">στο δέρμα, προέρχεται είτε από την συρρίκνωση της γέλης μετά την απώλεια νερού ή μετά την πήξη της τακήσης γέλης. </w:t>
      </w:r>
      <w:r w:rsidR="008D0E21">
        <w:t>Τα συστατικά που χρησιμοποιούντ</w:t>
      </w:r>
      <w:r w:rsidRPr="00643A2B">
        <w:t>α</w:t>
      </w:r>
      <w:r w:rsidR="008D0E21">
        <w:t>ι</w:t>
      </w:r>
      <w:r w:rsidRPr="00643A2B">
        <w:t xml:space="preserve"> συνήθως για την παρασκευή υδροκολλοειδών μασκών, κατατάσσονται ως εξής:</w:t>
      </w:r>
    </w:p>
    <w:p w:rsidR="00643A2B" w:rsidRPr="00643A2B" w:rsidRDefault="00643A2B" w:rsidP="00643A2B">
      <w:r w:rsidRPr="00643A2B">
        <w:t xml:space="preserve">Φυσικά κολλοειδή. Τα κυριότερα φυσικά κολλοειδή ή παράγωγα αυτών που χρησιμοποιούνται στις υδροκολλοειδείς μάσκες, είναι τα διάφορα κόμμεα όπως τραγάκανθα, καραγηνό κόμμι, αραβικό κόμμι, ζελατίνη, πηκτίνη, </w:t>
      </w:r>
      <w:r w:rsidR="008D0E21" w:rsidRPr="00643A2B">
        <w:t>καζεΐνη</w:t>
      </w:r>
      <w:r w:rsidRPr="00643A2B">
        <w:t xml:space="preserve"> και παράγωγα κυτταρίνης. Το στρώμα που σχηματίζουν οι μάσκες που περιέχουν φυσικά κολλοειδή είναι παχύ, ελαφρά προσκολλημένο πάνω στο δέρμα και η συρρίκνωσή τους μετά την εφαρμογή είναι σχετικά μικρή.</w:t>
      </w:r>
    </w:p>
    <w:p w:rsidR="00643A2B" w:rsidRPr="00643A2B" w:rsidRDefault="00643A2B" w:rsidP="00643A2B">
      <w:r w:rsidRPr="00643A2B">
        <w:t>Συνθετικά κολλοειδή. Τα κυριότερα συνθετικά κολλοειδή είναι η πολυβινυλο-πυρρολιδόνη (</w:t>
      </w:r>
      <w:r w:rsidRPr="00643A2B">
        <w:rPr>
          <w:lang w:val="en-US"/>
        </w:rPr>
        <w:t>P</w:t>
      </w:r>
      <w:r w:rsidRPr="00643A2B">
        <w:t>.</w:t>
      </w:r>
      <w:r w:rsidRPr="00643A2B">
        <w:rPr>
          <w:lang w:val="en-US"/>
        </w:rPr>
        <w:t>V</w:t>
      </w:r>
      <w:r w:rsidRPr="00643A2B">
        <w:t>.</w:t>
      </w:r>
      <w:r w:rsidRPr="00643A2B">
        <w:rPr>
          <w:lang w:val="en-US"/>
        </w:rPr>
        <w:t>P</w:t>
      </w:r>
      <w:r w:rsidRPr="00643A2B">
        <w:t xml:space="preserve">.) και τα πολυακρυλικά παράγωγα. Το στρώμα που σχηματίζουν οι υδροκολλοειδείς μάσκες που περιέχουν συνθετικά πολυμερή, είναι λεπτό, συνεχές ελαστικό και ισχυρά προσκολλημένο πάνω στο δέρμα. </w:t>
      </w:r>
    </w:p>
    <w:p w:rsidR="00643A2B" w:rsidRPr="00643A2B" w:rsidRDefault="00643A2B" w:rsidP="00643A2B">
      <w:r w:rsidRPr="00643A2B">
        <w:t>Διάφορα βοηθητικά συστατικά. Στις υδροκολλοειδείς μάσκες προστίθενται συνήθως βοηθητικές ουσίες για να προσδώσουν στο προϊόν επιπλέον ιδιότητες. Τέτοιες βοηθητικές ουσίες είναι: α) στερεά συστατικά όπως καολίνης και μπετονίτης για να αυξηθεί η καθαριστική ικανότητα των μασκών μιας και προσροφούν και απομακρύνουν τον ρύπο από το δέρμα. Επίσης το οξείδιο του ψευδαργύρου και το διοξείδιο του τιτανίου, προστίθενται για να προσδώσουν αδιαφάνεια και να διευκολυνθεί η εφαρμογή της μάσκας στο πρόσωπο, β) διυγραντικές ουσίες όπως γλυκερίνη, προπυλενογλυκόλη, σορβιτόλη για να ρυθμιστεί η ελαστικότητα του στρώματος που δημιουργούν οι υδροκολλοειδείς μάσκες, γ) η προσθήκη αλκοόλης, διευκολύνει το γρήγορο πήξιμο της μάσκας.</w:t>
      </w:r>
    </w:p>
    <w:p w:rsidR="00643A2B" w:rsidRPr="00643A2B" w:rsidRDefault="00643A2B" w:rsidP="00643A2B"/>
    <w:p w:rsidR="00643A2B" w:rsidRPr="00643A2B" w:rsidRDefault="00643A2B" w:rsidP="00643A2B">
      <w:pPr>
        <w:pStyle w:val="3"/>
      </w:pPr>
      <w:bookmarkStart w:id="7" w:name="_Toc420329156"/>
      <w:r w:rsidRPr="00643A2B">
        <w:t>Αργιλώδεις μάσκες (</w:t>
      </w:r>
      <w:r w:rsidRPr="00643A2B">
        <w:rPr>
          <w:lang w:val="en-US"/>
        </w:rPr>
        <w:t>Argillaceous</w:t>
      </w:r>
      <w:r w:rsidRPr="00FD5660">
        <w:t xml:space="preserve"> </w:t>
      </w:r>
      <w:r w:rsidRPr="00643A2B">
        <w:rPr>
          <w:lang w:val="en-US"/>
        </w:rPr>
        <w:t>masks</w:t>
      </w:r>
      <w:r w:rsidRPr="00FD5660">
        <w:t>)</w:t>
      </w:r>
      <w:bookmarkEnd w:id="7"/>
    </w:p>
    <w:p w:rsidR="00643A2B" w:rsidRPr="00643A2B" w:rsidRDefault="00643A2B" w:rsidP="00643A2B">
      <w:r w:rsidRPr="00643A2B">
        <w:t>Τα προϊόντα αυτά έχουν σαν βάση αργιλώδη υλικά όπως ο μπετονίτης και ο κολλοειδής καολίνης. Τα προϊόντα αυτά κυκλοφορούν είτε σε μορφή σκόνης, είτε είναι προϊόντα έτοιμα για χρήση. Για να χρησιμοποιηθεί μια μάσκα που έχει μορφή κάνεως, πρέπει πρώτα να προστεθεί σ’ αυτή η απαραίτητη ποσότητα νερού ή κάποιας λοσιόν τονωτικής, στυπτικής κλπ., έτσι ώστε να ληφθεί πάστα επιθυμητού ιξώδους. Γι’ αυτό, οι αργιλώδεις μάσκες φέρονται και σαν μάσκες πάστας (</w:t>
      </w:r>
      <w:r w:rsidRPr="00643A2B">
        <w:rPr>
          <w:lang w:val="en-US"/>
        </w:rPr>
        <w:t>Pasta</w:t>
      </w:r>
      <w:r w:rsidRPr="00643A2B">
        <w:t xml:space="preserve"> </w:t>
      </w:r>
      <w:r w:rsidRPr="00643A2B">
        <w:rPr>
          <w:lang w:val="en-US"/>
        </w:rPr>
        <w:t>masks</w:t>
      </w:r>
      <w:r w:rsidRPr="00643A2B">
        <w:t>) ή ακόμα μάσκες λάσπης (</w:t>
      </w:r>
      <w:r w:rsidRPr="00643A2B">
        <w:rPr>
          <w:lang w:val="en-US"/>
        </w:rPr>
        <w:t>earth</w:t>
      </w:r>
      <w:r w:rsidRPr="00643A2B">
        <w:t xml:space="preserve"> – </w:t>
      </w:r>
      <w:r w:rsidRPr="00643A2B">
        <w:rPr>
          <w:lang w:val="en-US"/>
        </w:rPr>
        <w:t>based</w:t>
      </w:r>
      <w:r w:rsidRPr="00643A2B">
        <w:t xml:space="preserve"> </w:t>
      </w:r>
      <w:r w:rsidRPr="00643A2B">
        <w:rPr>
          <w:lang w:val="en-US"/>
        </w:rPr>
        <w:t>masks</w:t>
      </w:r>
      <w:r w:rsidRPr="00643A2B">
        <w:t>). Οι αργιλώδεις μάσκες απλώνονται εύκολα στο πρόσωπο και αφού παραμείνουν σε ακινησία μέχρι να εξατμισθεί το περιεχόμενο νερό δημιουργείται ένα σκληρό και μη συνεχές στρώμα. Το στρώμα αυτό απομακρύνεται από το δέρμα του προσώπου σχετικά εύκολα με χλιαρό νερό και ελαφριά πίεση.</w:t>
      </w:r>
    </w:p>
    <w:p w:rsidR="00643A2B" w:rsidRPr="00643A2B" w:rsidRDefault="00643A2B" w:rsidP="00643A2B"/>
    <w:p w:rsidR="00643A2B" w:rsidRPr="00643A2B" w:rsidRDefault="008B7948" w:rsidP="00643A2B">
      <w:pPr>
        <w:pStyle w:val="1"/>
        <w:numPr>
          <w:ilvl w:val="0"/>
          <w:numId w:val="28"/>
        </w:numPr>
      </w:pPr>
      <w:bookmarkStart w:id="8" w:name="_Toc420329157"/>
      <w:r>
        <w:t>ΤΟΠΟΘΕΤΗΣΗ ΥΔΑΤΙΚΗΣ ΚΡΕΜΑΣ</w:t>
      </w:r>
      <w:bookmarkEnd w:id="8"/>
    </w:p>
    <w:p w:rsidR="00643A2B" w:rsidRPr="00643A2B" w:rsidRDefault="00643A2B" w:rsidP="00643A2B">
      <w:pPr>
        <w:rPr>
          <w:b/>
        </w:rPr>
      </w:pPr>
    </w:p>
    <w:p w:rsidR="00643A2B" w:rsidRPr="00643A2B" w:rsidRDefault="00643A2B" w:rsidP="00643A2B">
      <w:r w:rsidRPr="00643A2B">
        <w:tab/>
        <w:t xml:space="preserve">Αφού αφαιρέσουμε και τη μάσκα η περιποίηση του καθαρισμού έχει τελειώσει. Τοποθετούμε μια υδατική κρέμα στο πρόσωπο και συμβουλεύουμε το άτομο να μη μακιγιαρισθεί για 24 ώρες. </w:t>
      </w:r>
    </w:p>
    <w:p w:rsidR="003D2038" w:rsidRPr="00B853A2"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745B0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745B0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745B0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DB5DCB">
        <w:rPr>
          <w:rFonts w:cs="Calibri"/>
          <w:lang w:val="en-US"/>
        </w:rPr>
        <w:t xml:space="preserve"> </w:t>
      </w:r>
      <w:r w:rsidR="00DB5DCB" w:rsidRPr="00DB5DCB">
        <w:rPr>
          <w:rFonts w:cs="Calibri"/>
          <w:lang w:val="en-US"/>
        </w:rPr>
        <w:t>(Θ)</w:t>
      </w:r>
      <w:bookmarkStart w:id="9" w:name="_GoBack"/>
      <w:bookmarkEnd w:id="9"/>
      <w:r>
        <w:rPr>
          <w:rFonts w:cs="Calibri"/>
        </w:rPr>
        <w:t xml:space="preserve">. Ενότητα </w:t>
      </w:r>
      <w:r w:rsidR="00632A82" w:rsidRPr="00632A82">
        <w:rPr>
          <w:rFonts w:cs="Calibri"/>
        </w:rPr>
        <w:t>11: Βαθύς καθαρισμός (ε’ μέρος)</w:t>
      </w:r>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Αναφοράς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Αδειοδότησης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48572D">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745B07">
        <w:tc>
          <w:tcPr>
            <w:tcW w:w="2093" w:type="dxa"/>
          </w:tcPr>
          <w:p w:rsidR="000D12B0" w:rsidRPr="00021A16" w:rsidRDefault="000D12B0" w:rsidP="00745B07">
            <w:pPr>
              <w:rPr>
                <w:sz w:val="36"/>
                <w:szCs w:val="36"/>
              </w:rPr>
            </w:pPr>
            <w:r w:rsidRPr="00021A16">
              <w:rPr>
                <w:sz w:val="36"/>
                <w:szCs w:val="36"/>
              </w:rPr>
              <w:t>©</w:t>
            </w:r>
          </w:p>
        </w:tc>
        <w:tc>
          <w:tcPr>
            <w:tcW w:w="6429" w:type="dxa"/>
          </w:tcPr>
          <w:p w:rsidR="000D12B0" w:rsidRPr="00B853A2" w:rsidRDefault="000D12B0" w:rsidP="00745B07">
            <w:pPr>
              <w:rPr>
                <w:lang w:val="el-GR"/>
              </w:rPr>
            </w:pPr>
            <w:r w:rsidRPr="00B853A2">
              <w:rPr>
                <w:lang w:val="el-GR"/>
              </w:rPr>
              <w:t>Δεν επιτρέπεται η επαναχρησιμοποίηση του έργου, παρά μόνο εάν ζητηθεί εκ νέου άδεια από το δημιουργό.</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p>
        </w:tc>
        <w:tc>
          <w:tcPr>
            <w:tcW w:w="6429" w:type="dxa"/>
          </w:tcPr>
          <w:p w:rsidR="000D12B0" w:rsidRPr="00B853A2" w:rsidRDefault="000D12B0" w:rsidP="00745B07">
            <w:pPr>
              <w:tabs>
                <w:tab w:val="left" w:pos="1263"/>
              </w:tabs>
              <w:rPr>
                <w:lang w:val="el-GR"/>
              </w:rPr>
            </w:pPr>
            <w:r w:rsidRPr="00B853A2">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SA</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ND</w:t>
            </w:r>
          </w:p>
        </w:tc>
        <w:tc>
          <w:tcPr>
            <w:tcW w:w="6429" w:type="dxa"/>
          </w:tcPr>
          <w:p w:rsidR="000D12B0" w:rsidRDefault="000D12B0" w:rsidP="00745B07">
            <w:pPr>
              <w:tabs>
                <w:tab w:val="left" w:pos="1562"/>
              </w:tabs>
            </w:pPr>
            <w:r w:rsidRPr="00B853A2">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r w:rsidRPr="00B853A2">
              <w:rPr>
                <w:lang w:val="el-GR"/>
              </w:rPr>
              <w:t>-</w:t>
            </w:r>
            <w:r w:rsidRPr="00794F0C">
              <w:t>SA</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w:t>
            </w:r>
            <w:r w:rsidRPr="00021A16">
              <w:t>BY</w:t>
            </w:r>
            <w:r w:rsidRPr="00B853A2">
              <w:rPr>
                <w:lang w:val="el-GR"/>
              </w:rPr>
              <w:t>-</w:t>
            </w:r>
            <w:r w:rsidRPr="00021A16">
              <w:t>NC</w:t>
            </w:r>
            <w:r w:rsidRPr="00B853A2">
              <w:rPr>
                <w:lang w:val="el-GR"/>
              </w:rPr>
              <w:t>-</w:t>
            </w:r>
            <w:r w:rsidRPr="00021A16">
              <w:t>ND</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 xml:space="preserve">0 </w:t>
            </w:r>
            <w:r w:rsidRPr="00021A16">
              <w:t>Public</w:t>
            </w:r>
            <w:r w:rsidRPr="00B853A2">
              <w:rPr>
                <w:lang w:val="el-GR"/>
              </w:rPr>
              <w:t xml:space="preserve"> </w:t>
            </w:r>
            <w:r w:rsidRPr="00021A16">
              <w:t>Domain</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διαθέσιμο ως κοινό κτήμα</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χωρίς σήμανση</w:t>
            </w:r>
          </w:p>
        </w:tc>
        <w:tc>
          <w:tcPr>
            <w:tcW w:w="6429" w:type="dxa"/>
          </w:tcPr>
          <w:p w:rsidR="000D12B0" w:rsidRPr="00B853A2" w:rsidRDefault="000D12B0" w:rsidP="00745B07">
            <w:pPr>
              <w:rPr>
                <w:lang w:val="el-GR"/>
              </w:rPr>
            </w:pPr>
            <w:r w:rsidRPr="00B853A2">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Αναφοράς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Αδειοδότησης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0D12B0">
      <w:pPr>
        <w:pStyle w:val="a9"/>
        <w:numPr>
          <w:ilvl w:val="0"/>
          <w:numId w:val="1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4D0E24" w:rsidRPr="00622D8C" w:rsidRDefault="004D0E24" w:rsidP="004D0E24">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4D0E24" w:rsidRPr="00AB417C" w:rsidRDefault="004D0E24" w:rsidP="004D0E24">
      <w:pPr>
        <w:rPr>
          <w:rFonts w:cs="Calibri"/>
          <w:sz w:val="24"/>
          <w:szCs w:val="24"/>
          <w:lang w:eastAsia="el-GR"/>
        </w:rPr>
      </w:pPr>
      <w:r w:rsidRPr="004A4E2F">
        <w:rPr>
          <w:rFonts w:asciiTheme="minorHAnsi" w:hAnsiTheme="minorHAnsi"/>
        </w:rPr>
        <w:t>Βασιλική Κεφαλά, Αισθητική προσώπου Ι, ISBN 960-90857-1-7-2005</w:t>
      </w:r>
    </w:p>
    <w:p w:rsidR="00640294" w:rsidRPr="000D12B0" w:rsidRDefault="00640294" w:rsidP="004D0E24">
      <w:pPr>
        <w:rPr>
          <w:rFonts w:asciiTheme="minorHAnsi" w:hAnsiTheme="minorHAnsi"/>
          <w:sz w:val="24"/>
          <w:szCs w:val="24"/>
        </w:rPr>
      </w:pPr>
    </w:p>
    <w:sectPr w:rsidR="00640294" w:rsidRPr="000D12B0"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DB5DCB">
          <w:rPr>
            <w:noProof/>
          </w:rPr>
          <w:t>6</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CE2"/>
    <w:multiLevelType w:val="hybridMultilevel"/>
    <w:tmpl w:val="087CEAB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8B77A66"/>
    <w:multiLevelType w:val="hybridMultilevel"/>
    <w:tmpl w:val="FCA289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D245A58"/>
    <w:multiLevelType w:val="hybridMultilevel"/>
    <w:tmpl w:val="4F027436"/>
    <w:lvl w:ilvl="0" w:tplc="B898350C">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6C06A02"/>
    <w:multiLevelType w:val="hybridMultilevel"/>
    <w:tmpl w:val="CC76540A"/>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nsid w:val="1AB84890"/>
    <w:multiLevelType w:val="hybridMultilevel"/>
    <w:tmpl w:val="DED2B4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B774D2E"/>
    <w:multiLevelType w:val="hybridMultilevel"/>
    <w:tmpl w:val="99C24CE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5672517"/>
    <w:multiLevelType w:val="hybridMultilevel"/>
    <w:tmpl w:val="7ADCD2A4"/>
    <w:lvl w:ilvl="0" w:tplc="FFFFFFFF">
      <w:start w:val="1"/>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CF33484"/>
    <w:multiLevelType w:val="hybridMultilevel"/>
    <w:tmpl w:val="05D6457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D640D47"/>
    <w:multiLevelType w:val="hybridMultilevel"/>
    <w:tmpl w:val="857C797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14D0DAE"/>
    <w:multiLevelType w:val="hybridMultilevel"/>
    <w:tmpl w:val="F85A51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11">
    <w:nsid w:val="3CC50025"/>
    <w:multiLevelType w:val="hybridMultilevel"/>
    <w:tmpl w:val="933CE07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3EB200D5"/>
    <w:multiLevelType w:val="hybridMultilevel"/>
    <w:tmpl w:val="1002A00A"/>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F7D57A7"/>
    <w:multiLevelType w:val="hybridMultilevel"/>
    <w:tmpl w:val="C8A29F6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430611AD"/>
    <w:multiLevelType w:val="hybridMultilevel"/>
    <w:tmpl w:val="D73CA4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3A379AF"/>
    <w:multiLevelType w:val="hybridMultilevel"/>
    <w:tmpl w:val="D020FE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3A55BA5"/>
    <w:multiLevelType w:val="hybridMultilevel"/>
    <w:tmpl w:val="4E2A1ECE"/>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7">
    <w:nsid w:val="43CC3A82"/>
    <w:multiLevelType w:val="hybridMultilevel"/>
    <w:tmpl w:val="564E767C"/>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443D0C49"/>
    <w:multiLevelType w:val="hybridMultilevel"/>
    <w:tmpl w:val="D96EFAA4"/>
    <w:lvl w:ilvl="0" w:tplc="F5DA42B0">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20">
    <w:nsid w:val="46C960F7"/>
    <w:multiLevelType w:val="hybridMultilevel"/>
    <w:tmpl w:val="6BBEDB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4F9D11BE"/>
    <w:multiLevelType w:val="hybridMultilevel"/>
    <w:tmpl w:val="5DE8ED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A3019DF"/>
    <w:multiLevelType w:val="hybridMultilevel"/>
    <w:tmpl w:val="48A692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AF068F8"/>
    <w:multiLevelType w:val="hybridMultilevel"/>
    <w:tmpl w:val="5C90655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B3B2ED5"/>
    <w:multiLevelType w:val="hybridMultilevel"/>
    <w:tmpl w:val="E4227104"/>
    <w:lvl w:ilvl="0" w:tplc="B898350C">
      <w:start w:val="7"/>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636E31A9"/>
    <w:multiLevelType w:val="hybridMultilevel"/>
    <w:tmpl w:val="E69CA18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65716110"/>
    <w:multiLevelType w:val="hybridMultilevel"/>
    <w:tmpl w:val="A84A89F6"/>
    <w:lvl w:ilvl="0" w:tplc="FFFFFFFF">
      <w:start w:val="1"/>
      <w:numFmt w:val="decimal"/>
      <w:lvlText w:val="%1)"/>
      <w:lvlJc w:val="left"/>
      <w:pPr>
        <w:tabs>
          <w:tab w:val="num" w:pos="810"/>
        </w:tabs>
        <w:ind w:left="810" w:hanging="45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6EF91D00"/>
    <w:multiLevelType w:val="hybridMultilevel"/>
    <w:tmpl w:val="C8C4AEC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1AC24CA"/>
    <w:multiLevelType w:val="hybridMultilevel"/>
    <w:tmpl w:val="1DDA86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AED160C"/>
    <w:multiLevelType w:val="hybridMultilevel"/>
    <w:tmpl w:val="C23AD39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nsid w:val="7D5B56D7"/>
    <w:multiLevelType w:val="hybridMultilevel"/>
    <w:tmpl w:val="C832B190"/>
    <w:lvl w:ilvl="0" w:tplc="97A899C6">
      <w:start w:val="4"/>
      <w:numFmt w:val="decimal"/>
      <w:lvlText w:val="%1."/>
      <w:lvlJc w:val="left"/>
      <w:pPr>
        <w:ind w:left="795" w:hanging="360"/>
      </w:pPr>
      <w:rPr>
        <w:rFonts w:hint="default"/>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num w:numId="1">
    <w:abstractNumId w:val="14"/>
  </w:num>
  <w:num w:numId="2">
    <w:abstractNumId w:val="1"/>
  </w:num>
  <w:num w:numId="3">
    <w:abstractNumId w:val="11"/>
  </w:num>
  <w:num w:numId="4">
    <w:abstractNumId w:val="4"/>
  </w:num>
  <w:num w:numId="5">
    <w:abstractNumId w:val="28"/>
  </w:num>
  <w:num w:numId="6">
    <w:abstractNumId w:val="25"/>
  </w:num>
  <w:num w:numId="7">
    <w:abstractNumId w:val="29"/>
  </w:num>
  <w:num w:numId="8">
    <w:abstractNumId w:val="8"/>
  </w:num>
  <w:num w:numId="9">
    <w:abstractNumId w:val="20"/>
  </w:num>
  <w:num w:numId="10">
    <w:abstractNumId w:val="5"/>
  </w:num>
  <w:num w:numId="11">
    <w:abstractNumId w:val="26"/>
  </w:num>
  <w:num w:numId="12">
    <w:abstractNumId w:val="13"/>
  </w:num>
  <w:num w:numId="13">
    <w:abstractNumId w:val="16"/>
  </w:num>
  <w:num w:numId="14">
    <w:abstractNumId w:val="3"/>
  </w:num>
  <w:num w:numId="15">
    <w:abstractNumId w:val="15"/>
  </w:num>
  <w:num w:numId="16">
    <w:abstractNumId w:val="18"/>
  </w:num>
  <w:num w:numId="17">
    <w:abstractNumId w:val="17"/>
  </w:num>
  <w:num w:numId="18">
    <w:abstractNumId w:val="19"/>
  </w:num>
  <w:num w:numId="19">
    <w:abstractNumId w:val="10"/>
  </w:num>
  <w:num w:numId="20">
    <w:abstractNumId w:val="21"/>
  </w:num>
  <w:num w:numId="21">
    <w:abstractNumId w:val="30"/>
  </w:num>
  <w:num w:numId="22">
    <w:abstractNumId w:val="9"/>
  </w:num>
  <w:num w:numId="23">
    <w:abstractNumId w:val="22"/>
  </w:num>
  <w:num w:numId="24">
    <w:abstractNumId w:val="6"/>
  </w:num>
  <w:num w:numId="25">
    <w:abstractNumId w:val="27"/>
  </w:num>
  <w:num w:numId="26">
    <w:abstractNumId w:val="0"/>
  </w:num>
  <w:num w:numId="27">
    <w:abstractNumId w:val="7"/>
  </w:num>
  <w:num w:numId="28">
    <w:abstractNumId w:val="24"/>
  </w:num>
  <w:num w:numId="29">
    <w:abstractNumId w:val="23"/>
  </w:num>
  <w:num w:numId="30">
    <w:abstractNumId w:val="12"/>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8130E"/>
    <w:rsid w:val="0022253E"/>
    <w:rsid w:val="002F1F6D"/>
    <w:rsid w:val="00311D12"/>
    <w:rsid w:val="00390E18"/>
    <w:rsid w:val="003D2038"/>
    <w:rsid w:val="003E416C"/>
    <w:rsid w:val="004B545E"/>
    <w:rsid w:val="004D0E24"/>
    <w:rsid w:val="00540ADE"/>
    <w:rsid w:val="00550D3B"/>
    <w:rsid w:val="005807B0"/>
    <w:rsid w:val="005D0790"/>
    <w:rsid w:val="005D5616"/>
    <w:rsid w:val="00632A82"/>
    <w:rsid w:val="00640294"/>
    <w:rsid w:val="00643A2B"/>
    <w:rsid w:val="006670F4"/>
    <w:rsid w:val="00697534"/>
    <w:rsid w:val="00782145"/>
    <w:rsid w:val="008B7948"/>
    <w:rsid w:val="008D0E21"/>
    <w:rsid w:val="00943283"/>
    <w:rsid w:val="00A05069"/>
    <w:rsid w:val="00A22EEE"/>
    <w:rsid w:val="00A47F60"/>
    <w:rsid w:val="00A732D2"/>
    <w:rsid w:val="00AB0164"/>
    <w:rsid w:val="00B853A2"/>
    <w:rsid w:val="00BE29D0"/>
    <w:rsid w:val="00C354F1"/>
    <w:rsid w:val="00C558FF"/>
    <w:rsid w:val="00CD0A76"/>
    <w:rsid w:val="00DB5DCB"/>
    <w:rsid w:val="00E37F8E"/>
    <w:rsid w:val="00EC5838"/>
    <w:rsid w:val="00EC6AC0"/>
    <w:rsid w:val="00F42BF4"/>
    <w:rsid w:val="00FB482F"/>
    <w:rsid w:val="00FD56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A47F60"/>
    <w:pPr>
      <w:keepNext/>
      <w:keepLines/>
      <w:spacing w:before="200" w:after="0"/>
      <w:outlineLvl w:val="3"/>
    </w:pPr>
    <w:rPr>
      <w:rFonts w:asciiTheme="minorHAnsi" w:eastAsiaTheme="majorEastAsia" w:hAnsiTheme="minorHAnsi" w:cstheme="majorBidi"/>
      <w:b/>
      <w:bCs/>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basedOn w:val="a0"/>
    <w:link w:val="4"/>
    <w:uiPriority w:val="9"/>
    <w:rsid w:val="00A47F60"/>
    <w:rPr>
      <w:rFonts w:asciiTheme="minorHAnsi" w:eastAsiaTheme="majorEastAsia" w:hAnsiTheme="minorHAnsi" w:cstheme="majorBidi"/>
      <w:b/>
      <w:bCs/>
      <w:i/>
      <w:iCs/>
      <w:sz w:val="24"/>
      <w:szCs w:val="22"/>
      <w:lang w:eastAsia="en-US"/>
    </w:rPr>
  </w:style>
  <w:style w:type="paragraph" w:styleId="30">
    <w:name w:val="toc 3"/>
    <w:basedOn w:val="a"/>
    <w:next w:val="a"/>
    <w:autoRedefine/>
    <w:uiPriority w:val="39"/>
    <w:unhideWhenUsed/>
    <w:rsid w:val="0094328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paragraph" w:styleId="4">
    <w:name w:val="heading 4"/>
    <w:basedOn w:val="a"/>
    <w:next w:val="a"/>
    <w:link w:val="4Char"/>
    <w:uiPriority w:val="9"/>
    <w:unhideWhenUsed/>
    <w:qFormat/>
    <w:rsid w:val="00A47F60"/>
    <w:pPr>
      <w:keepNext/>
      <w:keepLines/>
      <w:spacing w:before="200" w:after="0"/>
      <w:outlineLvl w:val="3"/>
    </w:pPr>
    <w:rPr>
      <w:rFonts w:asciiTheme="minorHAnsi" w:eastAsiaTheme="majorEastAsia" w:hAnsiTheme="minorHAnsi" w:cstheme="majorBidi"/>
      <w:b/>
      <w:bCs/>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basedOn w:val="a0"/>
    <w:link w:val="4"/>
    <w:uiPriority w:val="9"/>
    <w:rsid w:val="00A47F60"/>
    <w:rPr>
      <w:rFonts w:asciiTheme="minorHAnsi" w:eastAsiaTheme="majorEastAsia" w:hAnsiTheme="minorHAnsi" w:cstheme="majorBidi"/>
      <w:b/>
      <w:bCs/>
      <w:i/>
      <w:iCs/>
      <w:sz w:val="24"/>
      <w:szCs w:val="22"/>
      <w:lang w:eastAsia="en-US"/>
    </w:rPr>
  </w:style>
  <w:style w:type="paragraph" w:styleId="30">
    <w:name w:val="toc 3"/>
    <w:basedOn w:val="a"/>
    <w:next w:val="a"/>
    <w:autoRedefine/>
    <w:uiPriority w:val="39"/>
    <w:unhideWhenUsed/>
    <w:rsid w:val="0094328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75A85-191E-4856-910F-642867A4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1979</Words>
  <Characters>10687</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fkaram2</cp:lastModifiedBy>
  <cp:revision>9</cp:revision>
  <cp:lastPrinted>2014-11-05T10:59:00Z</cp:lastPrinted>
  <dcterms:created xsi:type="dcterms:W3CDTF">2015-05-25T11:54:00Z</dcterms:created>
  <dcterms:modified xsi:type="dcterms:W3CDTF">2015-06-05T07:42:00Z</dcterms:modified>
</cp:coreProperties>
</file>