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55055A">
      <w:pPr>
        <w:rPr>
          <w:rFonts w:cs="Calibri"/>
          <w:b/>
          <w:bCs/>
          <w:sz w:val="28"/>
          <w:szCs w:val="28"/>
        </w:rPr>
      </w:pPr>
      <w:r w:rsidRPr="006071F6">
        <w:rPr>
          <w:rFonts w:cs="Calibri"/>
          <w:b/>
          <w:bCs/>
          <w:sz w:val="28"/>
          <w:szCs w:val="28"/>
        </w:rPr>
        <w:t>Εν</w:t>
      </w:r>
      <w:r>
        <w:rPr>
          <w:rFonts w:cs="Calibri"/>
          <w:b/>
          <w:bCs/>
          <w:sz w:val="28"/>
          <w:szCs w:val="28"/>
        </w:rPr>
        <w:t xml:space="preserve">ότητα </w:t>
      </w:r>
      <w:r w:rsidR="00C85524">
        <w:rPr>
          <w:rFonts w:cs="Calibri"/>
          <w:b/>
          <w:bCs/>
          <w:sz w:val="28"/>
          <w:szCs w:val="28"/>
        </w:rPr>
        <w:t>2</w:t>
      </w:r>
      <w:r w:rsidRPr="006071F6">
        <w:rPr>
          <w:rFonts w:cs="Calibri"/>
          <w:b/>
          <w:bCs/>
          <w:sz w:val="28"/>
          <w:szCs w:val="28"/>
        </w:rPr>
        <w:t xml:space="preserve">: </w:t>
      </w:r>
      <w:r w:rsidR="00C85524">
        <w:rPr>
          <w:rFonts w:cs="Calibri"/>
          <w:b/>
          <w:bCs/>
          <w:sz w:val="28"/>
          <w:szCs w:val="28"/>
        </w:rPr>
        <w:t>Τοπικά φάρμακα κατά της ακμής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sdt>
      <w:sdtPr>
        <w:rPr>
          <w:rFonts w:ascii="Calibri" w:eastAsia="Calibri" w:hAnsi="Calibri" w:cs="Times New Roman"/>
          <w:b w:val="0"/>
          <w:bCs w:val="0"/>
          <w:color w:val="auto"/>
          <w:sz w:val="22"/>
          <w:szCs w:val="22"/>
          <w:lang w:eastAsia="en-US"/>
        </w:rPr>
        <w:id w:val="1958685961"/>
        <w:docPartObj>
          <w:docPartGallery w:val="Table of Contents"/>
          <w:docPartUnique/>
        </w:docPartObj>
      </w:sdtPr>
      <w:sdtEndPr/>
      <w:sdtContent>
        <w:p w:rsidR="005D4B13" w:rsidRDefault="005D4B13">
          <w:pPr>
            <w:pStyle w:val="a4"/>
          </w:pPr>
          <w:r>
            <w:t>Περιεχόμενα</w:t>
          </w:r>
        </w:p>
        <w:p w:rsidR="00E61BC2" w:rsidRDefault="005D4B13">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4727830" w:history="1">
            <w:r w:rsidR="00E61BC2" w:rsidRPr="002F50F0">
              <w:rPr>
                <w:rStyle w:val="-"/>
                <w:noProof/>
              </w:rPr>
              <w:t>2</w:t>
            </w:r>
            <w:r w:rsidR="00E61BC2">
              <w:rPr>
                <w:rFonts w:asciiTheme="minorHAnsi" w:eastAsiaTheme="minorEastAsia" w:hAnsiTheme="minorHAnsi" w:cstheme="minorBidi"/>
                <w:noProof/>
                <w:lang w:eastAsia="el-GR"/>
              </w:rPr>
              <w:tab/>
            </w:r>
            <w:r w:rsidR="00E61BC2" w:rsidRPr="002F50F0">
              <w:rPr>
                <w:rStyle w:val="-"/>
                <w:noProof/>
              </w:rPr>
              <w:t>ΤΟΠΙΚΑ ΦΑΡΜΑΚΑ ΚΑΤΑ ΤΗΣ ΑΚΜΗΣ.</w:t>
            </w:r>
            <w:r w:rsidR="00E61BC2">
              <w:rPr>
                <w:noProof/>
                <w:webHidden/>
              </w:rPr>
              <w:tab/>
            </w:r>
            <w:r w:rsidR="00E61BC2">
              <w:rPr>
                <w:noProof/>
                <w:webHidden/>
              </w:rPr>
              <w:fldChar w:fldCharType="begin"/>
            </w:r>
            <w:r w:rsidR="00E61BC2">
              <w:rPr>
                <w:noProof/>
                <w:webHidden/>
              </w:rPr>
              <w:instrText xml:space="preserve"> PAGEREF _Toc424727830 \h </w:instrText>
            </w:r>
            <w:r w:rsidR="00E61BC2">
              <w:rPr>
                <w:noProof/>
                <w:webHidden/>
              </w:rPr>
            </w:r>
            <w:r w:rsidR="00E61BC2">
              <w:rPr>
                <w:noProof/>
                <w:webHidden/>
              </w:rPr>
              <w:fldChar w:fldCharType="separate"/>
            </w:r>
            <w:r w:rsidR="00E61BC2">
              <w:rPr>
                <w:noProof/>
                <w:webHidden/>
              </w:rPr>
              <w:t>3</w:t>
            </w:r>
            <w:r w:rsidR="00E61BC2">
              <w:rPr>
                <w:noProof/>
                <w:webHidden/>
              </w:rPr>
              <w:fldChar w:fldCharType="end"/>
            </w:r>
          </w:hyperlink>
        </w:p>
        <w:p w:rsidR="00E61BC2" w:rsidRDefault="00E61BC2">
          <w:pPr>
            <w:pStyle w:val="20"/>
            <w:tabs>
              <w:tab w:val="left" w:pos="880"/>
              <w:tab w:val="right" w:leader="dot" w:pos="9736"/>
            </w:tabs>
            <w:rPr>
              <w:rFonts w:asciiTheme="minorHAnsi" w:eastAsiaTheme="minorEastAsia" w:hAnsiTheme="minorHAnsi" w:cstheme="minorBidi"/>
              <w:noProof/>
              <w:lang w:eastAsia="el-GR"/>
            </w:rPr>
          </w:pPr>
          <w:hyperlink w:anchor="_Toc424727831" w:history="1">
            <w:r w:rsidRPr="002F50F0">
              <w:rPr>
                <w:rStyle w:val="-"/>
                <w:noProof/>
              </w:rPr>
              <w:t>2.1</w:t>
            </w:r>
            <w:r>
              <w:rPr>
                <w:rFonts w:asciiTheme="minorHAnsi" w:eastAsiaTheme="minorEastAsia" w:hAnsiTheme="minorHAnsi" w:cstheme="minorBidi"/>
                <w:noProof/>
                <w:lang w:eastAsia="el-GR"/>
              </w:rPr>
              <w:tab/>
            </w:r>
            <w:r w:rsidRPr="002F50F0">
              <w:rPr>
                <w:rStyle w:val="-"/>
                <w:noProof/>
              </w:rPr>
              <w:t>Ενδείξεις τοπικής αγωγής.</w:t>
            </w:r>
            <w:r>
              <w:rPr>
                <w:noProof/>
                <w:webHidden/>
              </w:rPr>
              <w:tab/>
            </w:r>
            <w:r>
              <w:rPr>
                <w:noProof/>
                <w:webHidden/>
              </w:rPr>
              <w:fldChar w:fldCharType="begin"/>
            </w:r>
            <w:r>
              <w:rPr>
                <w:noProof/>
                <w:webHidden/>
              </w:rPr>
              <w:instrText xml:space="preserve"> PAGEREF _Toc424727831 \h </w:instrText>
            </w:r>
            <w:r>
              <w:rPr>
                <w:noProof/>
                <w:webHidden/>
              </w:rPr>
            </w:r>
            <w:r>
              <w:rPr>
                <w:noProof/>
                <w:webHidden/>
              </w:rPr>
              <w:fldChar w:fldCharType="separate"/>
            </w:r>
            <w:r>
              <w:rPr>
                <w:noProof/>
                <w:webHidden/>
              </w:rPr>
              <w:t>3</w:t>
            </w:r>
            <w:r>
              <w:rPr>
                <w:noProof/>
                <w:webHidden/>
              </w:rPr>
              <w:fldChar w:fldCharType="end"/>
            </w:r>
          </w:hyperlink>
        </w:p>
        <w:p w:rsidR="00E61BC2" w:rsidRDefault="00E61BC2">
          <w:pPr>
            <w:pStyle w:val="20"/>
            <w:tabs>
              <w:tab w:val="left" w:pos="880"/>
              <w:tab w:val="right" w:leader="dot" w:pos="9736"/>
            </w:tabs>
            <w:rPr>
              <w:rFonts w:asciiTheme="minorHAnsi" w:eastAsiaTheme="minorEastAsia" w:hAnsiTheme="minorHAnsi" w:cstheme="minorBidi"/>
              <w:noProof/>
              <w:lang w:eastAsia="el-GR"/>
            </w:rPr>
          </w:pPr>
          <w:hyperlink w:anchor="_Toc424727832" w:history="1">
            <w:r w:rsidRPr="002F50F0">
              <w:rPr>
                <w:rStyle w:val="-"/>
                <w:noProof/>
              </w:rPr>
              <w:t>2.2</w:t>
            </w:r>
            <w:r>
              <w:rPr>
                <w:rFonts w:asciiTheme="minorHAnsi" w:eastAsiaTheme="minorEastAsia" w:hAnsiTheme="minorHAnsi" w:cstheme="minorBidi"/>
                <w:noProof/>
                <w:lang w:eastAsia="el-GR"/>
              </w:rPr>
              <w:tab/>
            </w:r>
            <w:r w:rsidRPr="002F50F0">
              <w:rPr>
                <w:rStyle w:val="-"/>
                <w:noProof/>
              </w:rPr>
              <w:t>Τοπικά φάρμακα, τοπικά μέσα και μέθοδοι.</w:t>
            </w:r>
            <w:r>
              <w:rPr>
                <w:noProof/>
                <w:webHidden/>
              </w:rPr>
              <w:tab/>
            </w:r>
            <w:r>
              <w:rPr>
                <w:noProof/>
                <w:webHidden/>
              </w:rPr>
              <w:fldChar w:fldCharType="begin"/>
            </w:r>
            <w:r>
              <w:rPr>
                <w:noProof/>
                <w:webHidden/>
              </w:rPr>
              <w:instrText xml:space="preserve"> PAGEREF _Toc424727832 \h </w:instrText>
            </w:r>
            <w:r>
              <w:rPr>
                <w:noProof/>
                <w:webHidden/>
              </w:rPr>
            </w:r>
            <w:r>
              <w:rPr>
                <w:noProof/>
                <w:webHidden/>
              </w:rPr>
              <w:fldChar w:fldCharType="separate"/>
            </w:r>
            <w:r>
              <w:rPr>
                <w:noProof/>
                <w:webHidden/>
              </w:rPr>
              <w:t>3</w:t>
            </w:r>
            <w:r>
              <w:rPr>
                <w:noProof/>
                <w:webHidden/>
              </w:rPr>
              <w:fldChar w:fldCharType="end"/>
            </w:r>
          </w:hyperlink>
        </w:p>
        <w:p w:rsidR="00E61BC2" w:rsidRDefault="00E61BC2">
          <w:pPr>
            <w:pStyle w:val="20"/>
            <w:tabs>
              <w:tab w:val="left" w:pos="880"/>
              <w:tab w:val="right" w:leader="dot" w:pos="9736"/>
            </w:tabs>
            <w:rPr>
              <w:rFonts w:asciiTheme="minorHAnsi" w:eastAsiaTheme="minorEastAsia" w:hAnsiTheme="minorHAnsi" w:cstheme="minorBidi"/>
              <w:noProof/>
              <w:lang w:eastAsia="el-GR"/>
            </w:rPr>
          </w:pPr>
          <w:hyperlink w:anchor="_Toc424727833" w:history="1">
            <w:r w:rsidRPr="002F50F0">
              <w:rPr>
                <w:rStyle w:val="-"/>
                <w:noProof/>
              </w:rPr>
              <w:t>2.3</w:t>
            </w:r>
            <w:r>
              <w:rPr>
                <w:rFonts w:asciiTheme="minorHAnsi" w:eastAsiaTheme="minorEastAsia" w:hAnsiTheme="minorHAnsi" w:cstheme="minorBidi"/>
                <w:noProof/>
                <w:lang w:eastAsia="el-GR"/>
              </w:rPr>
              <w:tab/>
            </w:r>
            <w:r w:rsidRPr="002F50F0">
              <w:rPr>
                <w:rStyle w:val="-"/>
                <w:noProof/>
              </w:rPr>
              <w:t>Τοπικά φάρμακα εκλογής κατά της ακμής.</w:t>
            </w:r>
            <w:r>
              <w:rPr>
                <w:noProof/>
                <w:webHidden/>
              </w:rPr>
              <w:tab/>
            </w:r>
            <w:r>
              <w:rPr>
                <w:noProof/>
                <w:webHidden/>
              </w:rPr>
              <w:fldChar w:fldCharType="begin"/>
            </w:r>
            <w:r>
              <w:rPr>
                <w:noProof/>
                <w:webHidden/>
              </w:rPr>
              <w:instrText xml:space="preserve"> PAGEREF _Toc424727833 \h </w:instrText>
            </w:r>
            <w:r>
              <w:rPr>
                <w:noProof/>
                <w:webHidden/>
              </w:rPr>
            </w:r>
            <w:r>
              <w:rPr>
                <w:noProof/>
                <w:webHidden/>
              </w:rPr>
              <w:fldChar w:fldCharType="separate"/>
            </w:r>
            <w:r>
              <w:rPr>
                <w:noProof/>
                <w:webHidden/>
              </w:rPr>
              <w:t>4</w:t>
            </w:r>
            <w:r>
              <w:rPr>
                <w:noProof/>
                <w:webHidden/>
              </w:rPr>
              <w:fldChar w:fldCharType="end"/>
            </w:r>
          </w:hyperlink>
        </w:p>
        <w:p w:rsidR="00E61BC2" w:rsidRDefault="00E61BC2">
          <w:pPr>
            <w:pStyle w:val="30"/>
            <w:tabs>
              <w:tab w:val="left" w:pos="1320"/>
              <w:tab w:val="right" w:leader="dot" w:pos="9736"/>
            </w:tabs>
            <w:rPr>
              <w:rFonts w:asciiTheme="minorHAnsi" w:eastAsiaTheme="minorEastAsia" w:hAnsiTheme="minorHAnsi" w:cstheme="minorBidi"/>
              <w:noProof/>
              <w:lang w:eastAsia="el-GR"/>
            </w:rPr>
          </w:pPr>
          <w:hyperlink w:anchor="_Toc424727834" w:history="1">
            <w:r w:rsidRPr="002F50F0">
              <w:rPr>
                <w:rStyle w:val="-"/>
                <w:noProof/>
              </w:rPr>
              <w:t>2.3.1</w:t>
            </w:r>
            <w:r>
              <w:rPr>
                <w:rFonts w:asciiTheme="minorHAnsi" w:eastAsiaTheme="minorEastAsia" w:hAnsiTheme="minorHAnsi" w:cstheme="minorBidi"/>
                <w:noProof/>
                <w:lang w:eastAsia="el-GR"/>
              </w:rPr>
              <w:tab/>
            </w:r>
            <w:r w:rsidRPr="002F50F0">
              <w:rPr>
                <w:rStyle w:val="-"/>
                <w:noProof/>
              </w:rPr>
              <w:t>Φαγεσωρολυτικά ή κερατολυτικά ή απολεπιστικά:</w:t>
            </w:r>
            <w:r>
              <w:rPr>
                <w:noProof/>
                <w:webHidden/>
              </w:rPr>
              <w:tab/>
            </w:r>
            <w:r>
              <w:rPr>
                <w:noProof/>
                <w:webHidden/>
              </w:rPr>
              <w:fldChar w:fldCharType="begin"/>
            </w:r>
            <w:r>
              <w:rPr>
                <w:noProof/>
                <w:webHidden/>
              </w:rPr>
              <w:instrText xml:space="preserve"> PAGEREF _Toc424727834 \h </w:instrText>
            </w:r>
            <w:r>
              <w:rPr>
                <w:noProof/>
                <w:webHidden/>
              </w:rPr>
            </w:r>
            <w:r>
              <w:rPr>
                <w:noProof/>
                <w:webHidden/>
              </w:rPr>
              <w:fldChar w:fldCharType="separate"/>
            </w:r>
            <w:r>
              <w:rPr>
                <w:noProof/>
                <w:webHidden/>
              </w:rPr>
              <w:t>4</w:t>
            </w:r>
            <w:r>
              <w:rPr>
                <w:noProof/>
                <w:webHidden/>
              </w:rPr>
              <w:fldChar w:fldCharType="end"/>
            </w:r>
          </w:hyperlink>
        </w:p>
        <w:p w:rsidR="00E61BC2" w:rsidRDefault="00E61BC2">
          <w:pPr>
            <w:pStyle w:val="30"/>
            <w:tabs>
              <w:tab w:val="left" w:pos="1320"/>
              <w:tab w:val="right" w:leader="dot" w:pos="9736"/>
            </w:tabs>
            <w:rPr>
              <w:rFonts w:asciiTheme="minorHAnsi" w:eastAsiaTheme="minorEastAsia" w:hAnsiTheme="minorHAnsi" w:cstheme="minorBidi"/>
              <w:noProof/>
              <w:lang w:eastAsia="el-GR"/>
            </w:rPr>
          </w:pPr>
          <w:hyperlink w:anchor="_Toc424727835" w:history="1">
            <w:r w:rsidRPr="002F50F0">
              <w:rPr>
                <w:rStyle w:val="-"/>
                <w:noProof/>
              </w:rPr>
              <w:t>2.3.2</w:t>
            </w:r>
            <w:r>
              <w:rPr>
                <w:rFonts w:asciiTheme="minorHAnsi" w:eastAsiaTheme="minorEastAsia" w:hAnsiTheme="minorHAnsi" w:cstheme="minorBidi"/>
                <w:noProof/>
                <w:lang w:eastAsia="el-GR"/>
              </w:rPr>
              <w:tab/>
            </w:r>
            <w:r w:rsidRPr="002F50F0">
              <w:rPr>
                <w:rStyle w:val="-"/>
                <w:noProof/>
              </w:rPr>
              <w:t>Φαγεσωρολυτικά και αντιμικροβιακά τοπικά φάρμακα.</w:t>
            </w:r>
            <w:r>
              <w:rPr>
                <w:noProof/>
                <w:webHidden/>
              </w:rPr>
              <w:tab/>
            </w:r>
            <w:r>
              <w:rPr>
                <w:noProof/>
                <w:webHidden/>
              </w:rPr>
              <w:fldChar w:fldCharType="begin"/>
            </w:r>
            <w:r>
              <w:rPr>
                <w:noProof/>
                <w:webHidden/>
              </w:rPr>
              <w:instrText xml:space="preserve"> PAGEREF _Toc424727835 \h </w:instrText>
            </w:r>
            <w:r>
              <w:rPr>
                <w:noProof/>
                <w:webHidden/>
              </w:rPr>
            </w:r>
            <w:r>
              <w:rPr>
                <w:noProof/>
                <w:webHidden/>
              </w:rPr>
              <w:fldChar w:fldCharType="separate"/>
            </w:r>
            <w:r>
              <w:rPr>
                <w:noProof/>
                <w:webHidden/>
              </w:rPr>
              <w:t>5</w:t>
            </w:r>
            <w:r>
              <w:rPr>
                <w:noProof/>
                <w:webHidden/>
              </w:rPr>
              <w:fldChar w:fldCharType="end"/>
            </w:r>
          </w:hyperlink>
        </w:p>
        <w:p w:rsidR="00E61BC2" w:rsidRDefault="00E61BC2">
          <w:pPr>
            <w:pStyle w:val="30"/>
            <w:tabs>
              <w:tab w:val="left" w:pos="1320"/>
              <w:tab w:val="right" w:leader="dot" w:pos="9736"/>
            </w:tabs>
            <w:rPr>
              <w:rFonts w:asciiTheme="minorHAnsi" w:eastAsiaTheme="minorEastAsia" w:hAnsiTheme="minorHAnsi" w:cstheme="minorBidi"/>
              <w:noProof/>
              <w:lang w:eastAsia="el-GR"/>
            </w:rPr>
          </w:pPr>
          <w:hyperlink w:anchor="_Toc424727836" w:history="1">
            <w:r w:rsidRPr="002F50F0">
              <w:rPr>
                <w:rStyle w:val="-"/>
                <w:noProof/>
              </w:rPr>
              <w:t>2.3.3</w:t>
            </w:r>
            <w:r>
              <w:rPr>
                <w:rFonts w:asciiTheme="minorHAnsi" w:eastAsiaTheme="minorEastAsia" w:hAnsiTheme="minorHAnsi" w:cstheme="minorBidi"/>
                <w:noProof/>
                <w:lang w:eastAsia="el-GR"/>
              </w:rPr>
              <w:tab/>
            </w:r>
            <w:r w:rsidRPr="002F50F0">
              <w:rPr>
                <w:rStyle w:val="-"/>
                <w:noProof/>
              </w:rPr>
              <w:t>Αλλα αντιμικροβιακά φάρμακα.</w:t>
            </w:r>
            <w:r>
              <w:rPr>
                <w:noProof/>
                <w:webHidden/>
              </w:rPr>
              <w:tab/>
            </w:r>
            <w:r>
              <w:rPr>
                <w:noProof/>
                <w:webHidden/>
              </w:rPr>
              <w:fldChar w:fldCharType="begin"/>
            </w:r>
            <w:r>
              <w:rPr>
                <w:noProof/>
                <w:webHidden/>
              </w:rPr>
              <w:instrText xml:space="preserve"> PAGEREF _Toc424727836 \h </w:instrText>
            </w:r>
            <w:r>
              <w:rPr>
                <w:noProof/>
                <w:webHidden/>
              </w:rPr>
            </w:r>
            <w:r>
              <w:rPr>
                <w:noProof/>
                <w:webHidden/>
              </w:rPr>
              <w:fldChar w:fldCharType="separate"/>
            </w:r>
            <w:r>
              <w:rPr>
                <w:noProof/>
                <w:webHidden/>
              </w:rPr>
              <w:t>5</w:t>
            </w:r>
            <w:r>
              <w:rPr>
                <w:noProof/>
                <w:webHidden/>
              </w:rPr>
              <w:fldChar w:fldCharType="end"/>
            </w:r>
          </w:hyperlink>
        </w:p>
        <w:p w:rsidR="00E61BC2" w:rsidRDefault="00E61BC2">
          <w:pPr>
            <w:pStyle w:val="30"/>
            <w:tabs>
              <w:tab w:val="left" w:pos="1320"/>
              <w:tab w:val="right" w:leader="dot" w:pos="9736"/>
            </w:tabs>
            <w:rPr>
              <w:rFonts w:asciiTheme="minorHAnsi" w:eastAsiaTheme="minorEastAsia" w:hAnsiTheme="minorHAnsi" w:cstheme="minorBidi"/>
              <w:noProof/>
              <w:lang w:eastAsia="el-GR"/>
            </w:rPr>
          </w:pPr>
          <w:hyperlink w:anchor="_Toc424727837" w:history="1">
            <w:r w:rsidRPr="002F50F0">
              <w:rPr>
                <w:rStyle w:val="-"/>
                <w:noProof/>
              </w:rPr>
              <w:t>2.3.4</w:t>
            </w:r>
            <w:r>
              <w:rPr>
                <w:rFonts w:asciiTheme="minorHAnsi" w:eastAsiaTheme="minorEastAsia" w:hAnsiTheme="minorHAnsi" w:cstheme="minorBidi"/>
                <w:noProof/>
                <w:lang w:eastAsia="el-GR"/>
              </w:rPr>
              <w:tab/>
            </w:r>
            <w:r w:rsidRPr="002F50F0">
              <w:rPr>
                <w:rStyle w:val="-"/>
                <w:noProof/>
              </w:rPr>
              <w:t>Συνδυασμοί φαρμάκων:</w:t>
            </w:r>
            <w:r>
              <w:rPr>
                <w:noProof/>
                <w:webHidden/>
              </w:rPr>
              <w:tab/>
            </w:r>
            <w:r>
              <w:rPr>
                <w:noProof/>
                <w:webHidden/>
              </w:rPr>
              <w:fldChar w:fldCharType="begin"/>
            </w:r>
            <w:r>
              <w:rPr>
                <w:noProof/>
                <w:webHidden/>
              </w:rPr>
              <w:instrText xml:space="preserve"> PAGEREF _Toc424727837 \h </w:instrText>
            </w:r>
            <w:r>
              <w:rPr>
                <w:noProof/>
                <w:webHidden/>
              </w:rPr>
            </w:r>
            <w:r>
              <w:rPr>
                <w:noProof/>
                <w:webHidden/>
              </w:rPr>
              <w:fldChar w:fldCharType="separate"/>
            </w:r>
            <w:r>
              <w:rPr>
                <w:noProof/>
                <w:webHidden/>
              </w:rPr>
              <w:t>6</w:t>
            </w:r>
            <w:r>
              <w:rPr>
                <w:noProof/>
                <w:webHidden/>
              </w:rPr>
              <w:fldChar w:fldCharType="end"/>
            </w:r>
          </w:hyperlink>
        </w:p>
        <w:p w:rsidR="00E61BC2" w:rsidRDefault="00E61BC2">
          <w:pPr>
            <w:pStyle w:val="30"/>
            <w:tabs>
              <w:tab w:val="left" w:pos="1320"/>
              <w:tab w:val="right" w:leader="dot" w:pos="9736"/>
            </w:tabs>
            <w:rPr>
              <w:rFonts w:asciiTheme="minorHAnsi" w:eastAsiaTheme="minorEastAsia" w:hAnsiTheme="minorHAnsi" w:cstheme="minorBidi"/>
              <w:noProof/>
              <w:lang w:eastAsia="el-GR"/>
            </w:rPr>
          </w:pPr>
          <w:hyperlink w:anchor="_Toc424727838" w:history="1">
            <w:r w:rsidRPr="002F50F0">
              <w:rPr>
                <w:rStyle w:val="-"/>
                <w:noProof/>
              </w:rPr>
              <w:t>2.3.5</w:t>
            </w:r>
            <w:r>
              <w:rPr>
                <w:rFonts w:asciiTheme="minorHAnsi" w:eastAsiaTheme="minorEastAsia" w:hAnsiTheme="minorHAnsi" w:cstheme="minorBidi"/>
                <w:noProof/>
                <w:lang w:eastAsia="el-GR"/>
              </w:rPr>
              <w:tab/>
            </w:r>
            <w:r w:rsidRPr="002F50F0">
              <w:rPr>
                <w:rStyle w:val="-"/>
                <w:noProof/>
              </w:rPr>
              <w:t>Τοπικά κορτικοστεροειδή:</w:t>
            </w:r>
            <w:r>
              <w:rPr>
                <w:noProof/>
                <w:webHidden/>
              </w:rPr>
              <w:tab/>
            </w:r>
            <w:r>
              <w:rPr>
                <w:noProof/>
                <w:webHidden/>
              </w:rPr>
              <w:fldChar w:fldCharType="begin"/>
            </w:r>
            <w:r>
              <w:rPr>
                <w:noProof/>
                <w:webHidden/>
              </w:rPr>
              <w:instrText xml:space="preserve"> PAGEREF _Toc424727838 \h </w:instrText>
            </w:r>
            <w:r>
              <w:rPr>
                <w:noProof/>
                <w:webHidden/>
              </w:rPr>
            </w:r>
            <w:r>
              <w:rPr>
                <w:noProof/>
                <w:webHidden/>
              </w:rPr>
              <w:fldChar w:fldCharType="separate"/>
            </w:r>
            <w:r>
              <w:rPr>
                <w:noProof/>
                <w:webHidden/>
              </w:rPr>
              <w:t>6</w:t>
            </w:r>
            <w:r>
              <w:rPr>
                <w:noProof/>
                <w:webHidden/>
              </w:rPr>
              <w:fldChar w:fldCharType="end"/>
            </w:r>
          </w:hyperlink>
        </w:p>
        <w:p w:rsidR="00E61BC2" w:rsidRDefault="00E61BC2">
          <w:pPr>
            <w:pStyle w:val="30"/>
            <w:tabs>
              <w:tab w:val="left" w:pos="1320"/>
              <w:tab w:val="right" w:leader="dot" w:pos="9736"/>
            </w:tabs>
            <w:rPr>
              <w:rFonts w:asciiTheme="minorHAnsi" w:eastAsiaTheme="minorEastAsia" w:hAnsiTheme="minorHAnsi" w:cstheme="minorBidi"/>
              <w:noProof/>
              <w:lang w:eastAsia="el-GR"/>
            </w:rPr>
          </w:pPr>
          <w:hyperlink w:anchor="_Toc424727839" w:history="1">
            <w:r w:rsidRPr="002F50F0">
              <w:rPr>
                <w:rStyle w:val="-"/>
                <w:noProof/>
              </w:rPr>
              <w:t>2.3.6</w:t>
            </w:r>
            <w:r>
              <w:rPr>
                <w:rFonts w:asciiTheme="minorHAnsi" w:eastAsiaTheme="minorEastAsia" w:hAnsiTheme="minorHAnsi" w:cstheme="minorBidi"/>
                <w:noProof/>
                <w:lang w:eastAsia="el-GR"/>
              </w:rPr>
              <w:tab/>
            </w:r>
            <w:r w:rsidRPr="002F50F0">
              <w:rPr>
                <w:rStyle w:val="-"/>
                <w:noProof/>
              </w:rPr>
              <w:t>Αντισμηγματορροικά προιόντα:</w:t>
            </w:r>
            <w:r>
              <w:rPr>
                <w:noProof/>
                <w:webHidden/>
              </w:rPr>
              <w:tab/>
            </w:r>
            <w:r>
              <w:rPr>
                <w:noProof/>
                <w:webHidden/>
              </w:rPr>
              <w:fldChar w:fldCharType="begin"/>
            </w:r>
            <w:r>
              <w:rPr>
                <w:noProof/>
                <w:webHidden/>
              </w:rPr>
              <w:instrText xml:space="preserve"> PAGEREF _Toc424727839 \h </w:instrText>
            </w:r>
            <w:r>
              <w:rPr>
                <w:noProof/>
                <w:webHidden/>
              </w:rPr>
            </w:r>
            <w:r>
              <w:rPr>
                <w:noProof/>
                <w:webHidden/>
              </w:rPr>
              <w:fldChar w:fldCharType="separate"/>
            </w:r>
            <w:r>
              <w:rPr>
                <w:noProof/>
                <w:webHidden/>
              </w:rPr>
              <w:t>6</w:t>
            </w:r>
            <w:r>
              <w:rPr>
                <w:noProof/>
                <w:webHidden/>
              </w:rPr>
              <w:fldChar w:fldCharType="end"/>
            </w:r>
          </w:hyperlink>
        </w:p>
        <w:p w:rsidR="005D4B13" w:rsidRDefault="005D4B13">
          <w:r>
            <w:rPr>
              <w:b/>
              <w:bCs/>
            </w:rPr>
            <w:fldChar w:fldCharType="end"/>
          </w:r>
        </w:p>
      </w:sdtContent>
    </w:sdt>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C85524" w:rsidRPr="00C85524" w:rsidRDefault="00C85524" w:rsidP="00C85524">
      <w:pPr>
        <w:pStyle w:val="11"/>
      </w:pPr>
      <w:bookmarkStart w:id="0" w:name="_Toc424727830"/>
      <w:r w:rsidRPr="00C85524">
        <w:lastRenderedPageBreak/>
        <w:t>ΤΟΠΙΚΑ ΦΑΡΜΑΚΑ ΚΑΤΑ ΤΗΣ ΑΚΜΗΣ.</w:t>
      </w:r>
      <w:bookmarkEnd w:id="0"/>
    </w:p>
    <w:p w:rsidR="00C85524" w:rsidRDefault="00C85524" w:rsidP="00C85524"/>
    <w:p w:rsidR="00C85524" w:rsidRDefault="00C85524" w:rsidP="00C85524">
      <w:pPr>
        <w:pStyle w:val="21"/>
      </w:pPr>
      <w:bookmarkStart w:id="1" w:name="_Toc424727831"/>
      <w:r>
        <w:t>Ενδείξεις τοπικής αγωγής.</w:t>
      </w:r>
      <w:bookmarkEnd w:id="1"/>
    </w:p>
    <w:p w:rsidR="00C85524" w:rsidRDefault="00C85524" w:rsidP="00C85524"/>
    <w:p w:rsidR="00C85524" w:rsidRDefault="00C85524" w:rsidP="00C85524">
      <w:pPr>
        <w:jc w:val="both"/>
      </w:pPr>
      <w:r>
        <w:t>Η τοπική μονοθεραπεία (Cunliffe, 1984) ενδείκνυται:</w:t>
      </w:r>
    </w:p>
    <w:p w:rsidR="00C85524" w:rsidRDefault="00C85524" w:rsidP="00C85524">
      <w:pPr>
        <w:jc w:val="both"/>
      </w:pPr>
      <w:r>
        <w:t>α) στην ήπια, μη φλεγμονώδη φαγεσωρική ακμή πρώτου ή δεύτερου βαθμού</w:t>
      </w:r>
    </w:p>
    <w:p w:rsidR="00C85524" w:rsidRDefault="00C85524" w:rsidP="00C85524">
      <w:pPr>
        <w:jc w:val="both"/>
      </w:pPr>
      <w:r>
        <w:t>β) σε βαρύτερη φλεγμονώδη ακμή με ταυτόχρονη συστηματική αγωγή</w:t>
      </w:r>
    </w:p>
    <w:p w:rsidR="00C85524" w:rsidRDefault="00C85524" w:rsidP="00C85524">
      <w:pPr>
        <w:jc w:val="both"/>
      </w:pPr>
      <w:r>
        <w:t>γ) σαν θεραπεία συντήρησης μετά τη διακοπή της συστηματικής αγωγής</w:t>
      </w:r>
    </w:p>
    <w:p w:rsidR="00C85524" w:rsidRDefault="00C85524" w:rsidP="00C85524">
      <w:pPr>
        <w:jc w:val="both"/>
      </w:pPr>
      <w:r>
        <w:t>δ) σε τοπικές βλάβες που προκλήθηκαν από συστηματική λήψη</w:t>
      </w:r>
    </w:p>
    <w:p w:rsidR="00C85524" w:rsidRDefault="00C85524" w:rsidP="00C85524">
      <w:pPr>
        <w:jc w:val="both"/>
      </w:pPr>
      <w:r>
        <w:t xml:space="preserve">φαρμάκων για τη θεραπεία της, π.χ. σε πυογόνο κοκκίωμα από </w:t>
      </w:r>
      <w:r w:rsidR="00E61BC2">
        <w:t>ισοτρετινοΐνη</w:t>
      </w:r>
      <w:r>
        <w:t>.</w:t>
      </w:r>
    </w:p>
    <w:p w:rsidR="00C85524" w:rsidRDefault="00C85524" w:rsidP="00C85524"/>
    <w:p w:rsidR="00C85524" w:rsidRPr="00C85524" w:rsidRDefault="00C85524" w:rsidP="00C85524">
      <w:pPr>
        <w:pStyle w:val="21"/>
      </w:pPr>
      <w:bookmarkStart w:id="2" w:name="_Toc424727832"/>
      <w:r>
        <w:t>Τοπικά φάρμακα, τοπικά μέσα και μέθοδοι.</w:t>
      </w:r>
      <w:bookmarkEnd w:id="2"/>
    </w:p>
    <w:p w:rsidR="00C85524" w:rsidRDefault="00C85524" w:rsidP="00C85524"/>
    <w:p w:rsidR="00C85524" w:rsidRDefault="00C85524" w:rsidP="00C85524">
      <w:pPr>
        <w:ind w:firstLine="720"/>
        <w:jc w:val="both"/>
      </w:pPr>
      <w:r>
        <w:t>Στην τοπική θεραπευτική κατά της ακμής δεν έχουν σημειωθεί άλματα όπως στη συστηματική αγωγή με την εισαγωγή της ισοτρετινοίνης. Πρέπει όμως να τονισθεί ότι τα τοπικά φάρμακα πρέπει να εφαρμόζονται και στις μη προσβεβλημένες περιοχές του δέρματος του προσώπου, αλλά και στις "κρυφές" ακμοειδείς βλάβες των ώμων, της πλάτης, του στέρνου και των βραχιόνων, διότι τα ελεύθερα λιπαρά οξέα είναι προϊόν της τριχοσμηγματογόνου μονάδος στο σύνολό της (Shalita and Freinkel, 1984).</w:t>
      </w:r>
    </w:p>
    <w:p w:rsidR="00C85524" w:rsidRDefault="00C85524" w:rsidP="00C85524">
      <w:r>
        <w:t>Υπάρχουν έτσι:</w:t>
      </w:r>
    </w:p>
    <w:p w:rsidR="00C85524" w:rsidRDefault="00C85524" w:rsidP="00C85524">
      <w:pPr>
        <w:ind w:left="284" w:hanging="284"/>
        <w:jc w:val="both"/>
      </w:pPr>
      <w:r>
        <w:t>1. Φαγεσωρολυτικά ή κερατολυτικά ή απολεπιστικά, με στόχο τη λύση του κερατινοποιημένου υλικού του σμηγματογόνου αδένα, π.χ. ρετινοικό οξύ, υπεροξείδιο του βενζολίου, θείο, ρεζορκινόλη.</w:t>
      </w:r>
    </w:p>
    <w:p w:rsidR="00C85524" w:rsidRDefault="00C85524" w:rsidP="00C85524">
      <w:pPr>
        <w:ind w:left="284" w:hanging="284"/>
        <w:jc w:val="both"/>
      </w:pPr>
      <w:r>
        <w:t>2. Αντιμικροβιακά, βακτηριοστατικά ή βακτηριοκτόνα σκευάσματα για την αντιμετώπιση του μικροβιακού φάσματος της ακμής, όπως το υπεροξείδιο του βενζολίου και τα τοπικά αντιβιοτικά.</w:t>
      </w:r>
    </w:p>
    <w:p w:rsidR="00C85524" w:rsidRDefault="00C85524" w:rsidP="00C85524">
      <w:pPr>
        <w:jc w:val="both"/>
      </w:pPr>
      <w:r>
        <w:t>3. Συνδυασμοί των παραπάνω με άλλα φάρμακα, π.χ. αντιμυκητισιακά.</w:t>
      </w:r>
    </w:p>
    <w:p w:rsidR="00C85524" w:rsidRDefault="00C85524" w:rsidP="00C85524">
      <w:r>
        <w:t>4. Τοπικά κορτικοστεροειδή ή αντιφλεγμονώδη.</w:t>
      </w:r>
    </w:p>
    <w:p w:rsidR="00C85524" w:rsidRDefault="00C85524" w:rsidP="00C85524">
      <w:pPr>
        <w:ind w:left="284" w:hanging="284"/>
        <w:jc w:val="both"/>
      </w:pPr>
      <w:r>
        <w:t xml:space="preserve">5. </w:t>
      </w:r>
      <w:r w:rsidR="00E61BC2">
        <w:t>Αντισμηγματορροϊκά</w:t>
      </w:r>
      <w:r>
        <w:t xml:space="preserve"> σκευάσματα για την καταπολέμηση των λιπιδίων του σμήγματος, όπως αντισηπτικά προιόντα καθαρισμού, στυπτικές λοσιόν, προιόντα επίτριψης και επικάλυψης.</w:t>
      </w:r>
    </w:p>
    <w:p w:rsidR="00C85524" w:rsidRDefault="00C85524" w:rsidP="00C85524">
      <w:pPr>
        <w:ind w:left="284" w:hanging="284"/>
        <w:jc w:val="both"/>
      </w:pPr>
      <w:r>
        <w:t>6. Μεταθεραπευτικά προιόντα για την καταπολέμηση της φλεγμονής και των ουλών, όπως μαλακτικά, τριχλωροξεικό οξύ.</w:t>
      </w:r>
    </w:p>
    <w:p w:rsidR="00C85524" w:rsidRDefault="00C85524" w:rsidP="00C85524">
      <w:pPr>
        <w:ind w:left="284" w:hanging="284"/>
        <w:jc w:val="both"/>
      </w:pPr>
      <w:r>
        <w:t>7. Τέλος άλλες μέθοδοι, όπως μηχανικές (εξαγωγή φαγεσώρων), φυσικές (UVA ή UVB), χημικές (peeling), ηλεκτρικές (dermabration).</w:t>
      </w:r>
    </w:p>
    <w:p w:rsidR="00C85524" w:rsidRDefault="00C85524" w:rsidP="00C85524"/>
    <w:p w:rsidR="00C85524" w:rsidRPr="00C85524" w:rsidRDefault="00C85524" w:rsidP="00C85524">
      <w:pPr>
        <w:pStyle w:val="21"/>
      </w:pPr>
      <w:bookmarkStart w:id="3" w:name="_Toc424727833"/>
      <w:r>
        <w:t>Τοπικά φάρμακα εκλογής κατά της ακμής.</w:t>
      </w:r>
      <w:bookmarkEnd w:id="3"/>
    </w:p>
    <w:p w:rsidR="00C85524" w:rsidRDefault="00C85524" w:rsidP="00C85524"/>
    <w:p w:rsidR="00C85524" w:rsidRDefault="00C85524" w:rsidP="00C85524">
      <w:pPr>
        <w:pStyle w:val="31"/>
      </w:pPr>
      <w:bookmarkStart w:id="4" w:name="_Toc424727834"/>
      <w:r>
        <w:t>Φαγεσωρολυτικά ή κερατολυτικά ή απολεπιστικά:</w:t>
      </w:r>
      <w:bookmarkEnd w:id="4"/>
      <w:r>
        <w:t xml:space="preserve"> </w:t>
      </w:r>
    </w:p>
    <w:p w:rsidR="00C85524" w:rsidRDefault="00C85524" w:rsidP="00C85524">
      <w:pPr>
        <w:jc w:val="both"/>
      </w:pPr>
      <w:r>
        <w:t>Τα πιο αποτελεσματικά, δοκιμασμένα για δύο περίπου δεκαετίες (Cunliffe, 1984 - Mills and Kligman, 1983) περιορίζονται α) στο ρετινοικό οξύ, και β) στο υπεροξείδιο του βενζολίου. Το θείο, που παλιότερα ήταν κλασσικό φάρμακο κατά της ακμής, έχει εγκαταληφθεί γιατί είναι φαγεσωρογόνο (Kligman, 1985 - Mills and Miller, 1972) και προκαλεί δυσανεξία σε ορισμένα άτομα. Η ρεζορκινόλη εξάλλου αποφεύγεται, γιατί παρατεταμένη χρήση της μπορεί να επηρεάσει τη λειτουργία του θυρεοειδή αδένα.</w:t>
      </w:r>
    </w:p>
    <w:p w:rsidR="00C85524" w:rsidRDefault="00C85524" w:rsidP="00C85524">
      <w:pPr>
        <w:jc w:val="both"/>
      </w:pPr>
    </w:p>
    <w:p w:rsidR="00C85524" w:rsidRDefault="00C85524" w:rsidP="00C85524">
      <w:pPr>
        <w:pStyle w:val="41"/>
      </w:pPr>
      <w:r>
        <w:t>Ρετινοικό οξύ:</w:t>
      </w:r>
    </w:p>
    <w:p w:rsidR="00C85524" w:rsidRDefault="00C85524" w:rsidP="00C85524">
      <w:pPr>
        <w:jc w:val="both"/>
      </w:pPr>
      <w:r>
        <w:t xml:space="preserve"> Το ρετινοικό οξύ, ή οξύ της βιταμίνης Α ή τρετινοίνη (All trans retinoic acid, Vitamin A acid, Tretinoine) είναι το περισσότερο αναγραφόμενο φάρμακο στις Ηνωμένες Πολιτείες (Thomas and Doyle, 1981). </w:t>
      </w:r>
    </w:p>
    <w:p w:rsidR="00C85524" w:rsidRDefault="00C85524" w:rsidP="00C85524">
      <w:pPr>
        <w:jc w:val="both"/>
      </w:pPr>
    </w:p>
    <w:p w:rsidR="00C85524" w:rsidRDefault="00C85524" w:rsidP="00C85524">
      <w:pPr>
        <w:jc w:val="both"/>
      </w:pPr>
      <w:r>
        <w:t>Οι κερατολυτικές και άλλες του ιδιότητες φαίνονται από τον τρόπο δράσης του, που αφορά τις επιθηλιακές επιφάνειες σε διάφορα επίπεδα, όπως  α) επιθηλιακή συγκόλληση: έχει την ικανότητα ν</w:t>
      </w:r>
      <w:r w:rsidR="00E61BC2">
        <w:t>α αναστέλλει τη σύνθεση των τονοϊ</w:t>
      </w:r>
      <w:r>
        <w:t xml:space="preserve">νιδίων και να μειώνει την προσκολλητικότητα των κερατινοποιημένων κυττάρων προάγοντας έτσι την κερατόλυση, β) δρα στη μιτωτική δραστηριότητα που στους κλειστούς φαγέσωρους είναι τριπλάσια από τους φυσιολογικούς θυλάκους, οδηγώντας σε αύξηση του κυτταρικού κύκλου (turnover) με την εντατικοποίηση της πολλαπλασιαστικής ικανότητας του τριχικού επιθηλίου,  γ) επηρεάζει τους σμηγματογόνους πόρους και όχι τους λοβούς, κάτι που το χαρακτηρίζει σαν σμηγματογόνο,  δ) στο επίπεδο φλεγμονής σταθεροποιεί τα λυσοσώματα των κυττάρων που απελευθερώνουν πρωτεολυτικά και υδρολυτικά ένζυμα που ευθύνονται γι αυτήν και αναστέλλει τη σύνθεση των προσταγλανδινών, και τέλος, ε) επηρεάζει το RNA με ερεθισμό της σύνθεσης της </w:t>
      </w:r>
      <w:r w:rsidR="00E61BC2">
        <w:t>γλυκοπρωτεΐνης</w:t>
      </w:r>
      <w:r>
        <w:t xml:space="preserve"> (κυτταρική μεταπλασία σαν βλεννογόνο) και το κυκλικό πυρηνοσίδιο. Στην οξεία φάση της θεραπείας έχει αποδειχθεί ιστολογικά πως υπάρχει ακάνθωση, θηλωμάτωση, απώλεια της κοκκιώδους στιβάδας, παρακεράτωση και μεσοκυττάριο και ενδοκυττάριο οίδημα</w:t>
      </w:r>
    </w:p>
    <w:p w:rsidR="00C85524" w:rsidRDefault="00E61BC2" w:rsidP="00E61BC2">
      <w:r>
        <w:t>Μορφές τρετινοΐ</w:t>
      </w:r>
      <w:r w:rsidR="00C85524">
        <w:t>νης: Η τ</w:t>
      </w:r>
      <w:r>
        <w:t>ρετινοΐ</w:t>
      </w:r>
      <w:r>
        <w:t>νη</w:t>
      </w:r>
      <w:r w:rsidR="00C85524">
        <w:t xml:space="preserve"> κυκλοφορεί με μορφή κρέμας ή λοσιόν 0,05%  Η κρέμα ενδείκνυται για τη μη φλεγμονώδη φαγεσωρική ακμή σε ανοιχτόχρωμα και με ξηρό δέρμα άτομα, ενώ η λοσιόν απευθύνεται στα πολύ λιπαρά δέρματα. Και οι δύο αυτές μορφές χρησιμοποιούνται ή μια φορά την ημέρα για λίγες ώρες ή ημέρα παρά ημέρα. Προσοχή χρειάζεται στην εφαρμογή γύρω από τα μάτια, γωνίες στόματος και μύτης, καθώς και η έκθεση στο ηλιακό φως ή σε λυχνία U</w:t>
      </w:r>
      <w:r w:rsidR="00C85524">
        <w:rPr>
          <w:lang w:val="en-US"/>
        </w:rPr>
        <w:t>V</w:t>
      </w:r>
      <w:r w:rsidR="00C85524">
        <w:t>A.</w:t>
      </w:r>
    </w:p>
    <w:p w:rsidR="00C85524" w:rsidRDefault="00C85524" w:rsidP="00C85524">
      <w:pPr>
        <w:numPr>
          <w:ilvl w:val="0"/>
          <w:numId w:val="35"/>
        </w:numPr>
        <w:overflowPunct w:val="0"/>
        <w:autoSpaceDE w:val="0"/>
        <w:autoSpaceDN w:val="0"/>
        <w:adjustRightInd w:val="0"/>
        <w:spacing w:after="0" w:line="240" w:lineRule="auto"/>
        <w:jc w:val="both"/>
        <w:textAlignment w:val="baseline"/>
      </w:pPr>
      <w:r>
        <w:t xml:space="preserve">Ανεπιθύμητες ενέργειες </w:t>
      </w:r>
      <w:r w:rsidR="00E61BC2">
        <w:t>τρετινοΐνης</w:t>
      </w:r>
      <w:r>
        <w:t>: Μικρά ποσοστά φαρμάκου απορροφούνται τοπικά και μεταβολίζονται στο συκώτι. Η απορρόφηση βέβαια είναι μεγαλύτερη από το εκζεματικό ή τραυματισμένο δέρμα. Προκαλεί έντονο τοπικό ερεθισμό, ερυθρότητα, απολέπιση, ραγάδες, αλλαγή του μελαγχρώματος και υποκειμενική δυσφορία.</w:t>
      </w:r>
    </w:p>
    <w:p w:rsidR="00C85524" w:rsidRDefault="00C85524" w:rsidP="00C85524">
      <w:pPr>
        <w:jc w:val="both"/>
      </w:pPr>
    </w:p>
    <w:p w:rsidR="00C85524" w:rsidRDefault="00C85524" w:rsidP="00C85524">
      <w:pPr>
        <w:pStyle w:val="41"/>
      </w:pPr>
      <w:r>
        <w:lastRenderedPageBreak/>
        <w:t xml:space="preserve"> Μοτρετινίδη: </w:t>
      </w:r>
    </w:p>
    <w:p w:rsidR="00C85524" w:rsidRDefault="00C85524" w:rsidP="00C85524">
      <w:pPr>
        <w:jc w:val="both"/>
      </w:pPr>
      <w:r>
        <w:t>Η μοτρετινίδη ανήκει στη δεύτερη γενιά ρετινο</w:t>
      </w:r>
      <w:r w:rsidR="00E61BC2">
        <w:t>ειδών. Είναι ανάλογο του ρετινοϊ</w:t>
      </w:r>
      <w:r>
        <w:t>κού οξέος αιθυλομίδιο και προέρχεται από την τροποποίηση του δακτυλίου και των τελικών απολήξεών του. Εχει καλύτερους θεραπευτικούς δείκτες, προκαλεί μικρότερο τοπικό ερεθισμό, δεν κυκλοφορεί όμως στην Ελλάδα.</w:t>
      </w:r>
    </w:p>
    <w:p w:rsidR="00C85524" w:rsidRDefault="00C85524" w:rsidP="00C85524">
      <w:pPr>
        <w:jc w:val="center"/>
      </w:pPr>
    </w:p>
    <w:p w:rsidR="00C85524" w:rsidRDefault="00C85524" w:rsidP="00C85524"/>
    <w:p w:rsidR="00C85524" w:rsidRDefault="00C85524" w:rsidP="00C85524">
      <w:pPr>
        <w:pStyle w:val="31"/>
      </w:pPr>
      <w:bookmarkStart w:id="5" w:name="_Toc424727835"/>
      <w:r>
        <w:t>Φαγεσωρολυτικά και αντιμικροβιακά τοπικά φάρμακα.</w:t>
      </w:r>
      <w:bookmarkEnd w:id="5"/>
    </w:p>
    <w:p w:rsidR="00C85524" w:rsidRPr="00C85524" w:rsidRDefault="00C85524" w:rsidP="00C85524">
      <w:pPr>
        <w:pStyle w:val="31"/>
        <w:numPr>
          <w:ilvl w:val="0"/>
          <w:numId w:val="0"/>
        </w:numPr>
        <w:ind w:left="720"/>
      </w:pPr>
    </w:p>
    <w:p w:rsidR="00C85524" w:rsidRDefault="00C85524" w:rsidP="00C85524">
      <w:pPr>
        <w:pStyle w:val="41"/>
      </w:pPr>
      <w:r>
        <w:t xml:space="preserve">Υπεροξείδιο του βενζολίου: </w:t>
      </w:r>
    </w:p>
    <w:p w:rsidR="00C85524" w:rsidRDefault="00C85524" w:rsidP="00C85524">
      <w:pPr>
        <w:overflowPunct w:val="0"/>
        <w:autoSpaceDE w:val="0"/>
        <w:autoSpaceDN w:val="0"/>
        <w:adjustRightInd w:val="0"/>
        <w:spacing w:after="0" w:line="240" w:lineRule="auto"/>
        <w:jc w:val="both"/>
        <w:textAlignment w:val="baseline"/>
      </w:pPr>
      <w:r>
        <w:t>Πρόκειται για το περισσότερο αναγραφόμενο τοπικό φάρμακο κατά της ακμής στην Αγγλία (Cunliffe, 1984). Φάρμακο αποφολιδωτικό και φαγεσωρολυτικό, δρα με απελευθέρωση Ο</w:t>
      </w:r>
      <w:r>
        <w:rPr>
          <w:sz w:val="14"/>
        </w:rPr>
        <w:t>2</w:t>
      </w:r>
      <w:r>
        <w:t>, αλλά ταυτόχρονα είναι και μικροβιοκτόνο. Ελαττώνει τον αριθμό του προπιονοβακτηριδίου της ακμής στις φλεγμονώδεις ή μη βλάβες του</w:t>
      </w:r>
      <w:r w:rsidR="00E61BC2">
        <w:t xml:space="preserve"> δέρματος. Υπερτερεί του ρετινοϊ</w:t>
      </w:r>
      <w:r>
        <w:t>κού οξέος στην κοινή φαγεσωρική ακμή που συνοδεύεται από βλατίδες και φλυκταινίδια (Cunliffe and Cotteril, 1975)</w:t>
      </w:r>
    </w:p>
    <w:p w:rsidR="00C85524" w:rsidRDefault="00C85524" w:rsidP="00C85524"/>
    <w:p w:rsidR="00C85524" w:rsidRDefault="00C85524" w:rsidP="00C85524"/>
    <w:p w:rsidR="00C85524" w:rsidRDefault="00C85524" w:rsidP="00C85524">
      <w:pPr>
        <w:numPr>
          <w:ilvl w:val="0"/>
          <w:numId w:val="35"/>
        </w:numPr>
        <w:overflowPunct w:val="0"/>
        <w:autoSpaceDE w:val="0"/>
        <w:autoSpaceDN w:val="0"/>
        <w:adjustRightInd w:val="0"/>
        <w:spacing w:after="0" w:line="240" w:lineRule="auto"/>
        <w:jc w:val="both"/>
        <w:textAlignment w:val="baseline"/>
      </w:pPr>
      <w:r>
        <w:t>Μορφές υπεροξειδίου του βενζολίου: Κυκλοφορεί σε ποικιλία μορφών και πυκνοτήτων, όπως γέλη 5% ή 10%, κρέμα 5% και 10%, λοσιόν  5% και 10%</w:t>
      </w:r>
    </w:p>
    <w:p w:rsidR="00C85524" w:rsidRDefault="00C85524" w:rsidP="00C85524">
      <w:pPr>
        <w:numPr>
          <w:ilvl w:val="0"/>
          <w:numId w:val="35"/>
        </w:numPr>
        <w:overflowPunct w:val="0"/>
        <w:autoSpaceDE w:val="0"/>
        <w:autoSpaceDN w:val="0"/>
        <w:adjustRightInd w:val="0"/>
        <w:spacing w:after="0" w:line="240" w:lineRule="auto"/>
        <w:jc w:val="both"/>
        <w:textAlignment w:val="baseline"/>
      </w:pPr>
      <w:r>
        <w:t>Ανεπιθύμητες ενέργειες υπεροξειδίου του βενζολίου: In vivo</w:t>
      </w:r>
      <w:r w:rsidR="00E61BC2">
        <w:t xml:space="preserve"> μετατρέπεται σε βενζοϊ</w:t>
      </w:r>
      <w:r>
        <w:t>κό οξύ που απορροφάται με διάχυση στα αγγεία του δέρματος. Προκαλεί έντονο τοπικό ερεθισμό και απολέπιση. Σπάνια εκζεματοειδής δερματίτιδα αναστρέψιμη στη διακοπή του. Αλλεργική δερματίτιδα παρατηρήθηκε σε μια από τις 465 που χρησιμοποιήθηκαν (Shutte et al, 1982). Μπορεί να λευκάνει τρίχες και ύφασμα.</w:t>
      </w:r>
    </w:p>
    <w:p w:rsidR="00C85524" w:rsidRDefault="00C85524" w:rsidP="00C85524"/>
    <w:p w:rsidR="00C85524" w:rsidRPr="00C85524" w:rsidRDefault="00C85524" w:rsidP="00C85524">
      <w:pPr>
        <w:pStyle w:val="31"/>
      </w:pPr>
      <w:bookmarkStart w:id="6" w:name="_Toc424727836"/>
      <w:r>
        <w:t>Αλλα αντιμικροβιακά φάρμακα.</w:t>
      </w:r>
      <w:bookmarkEnd w:id="6"/>
    </w:p>
    <w:p w:rsidR="00C85524" w:rsidRDefault="00C85524" w:rsidP="00C85524">
      <w:pPr>
        <w:jc w:val="both"/>
      </w:pPr>
      <w:r>
        <w:t>Τοπικά αντιβιοτικά: Η χρήση των τοπικών αντιβιοτικών διαλυμάτων, κυρίως ερυθρομυκίνης και κλυνταμικίνης, είναι αμφιλεγόμενη. Ο καλύτερος τρόπος χορήγησής τους είναι να προηγηθεί καλλιέργεια για την ανάπτυξη των μικροβίων και να καθοριστεί το ενδεικνυόμενο αντιβιοτικό για το υπεύθυνο μικρόβιο, πράγμα δαπανηρό και δύσκολο. Εξάλλου, από βιβλιογραφικές μελέτες (Eady et al, 1982 - Strauss, 1985) δεν μπορούν να αντικαταστήσουν το υπεροξείδιο του βενζολίου, λόγω των παρακάτω μειονεκτημάτων:</w:t>
      </w:r>
    </w:p>
    <w:p w:rsidR="00C85524" w:rsidRDefault="00C85524" w:rsidP="00C85524">
      <w:pPr>
        <w:jc w:val="both"/>
      </w:pPr>
      <w:r>
        <w:t xml:space="preserve">α) Σε παρατεταμένη χρήση αναπτύσσονται ανθεκτικά στελέχη, π.χ. σε κλινταμυκίνη, και συνεπώς η αντικατάστασή τους με ερυθρομυκίνη είναι περιττή </w:t>
      </w:r>
    </w:p>
    <w:p w:rsidR="00C85524" w:rsidRDefault="00C85524" w:rsidP="00C85524">
      <w:pPr>
        <w:jc w:val="both"/>
      </w:pPr>
      <w:r>
        <w:t>β) Οποιοδήποτε τοπικό αντιβιοτικό διασυνδέεται με συστηματικώς χορηγούμενα αντιβιοτικά, δεν πρέπει να εφαρμόζεται τοπικά αφού προωθείται έτσι ο κίνδυνος δημιουργίας ανθεκτικών στελεχών, κυρίως σταφυλόκοκκων.</w:t>
      </w:r>
    </w:p>
    <w:p w:rsidR="00C85524" w:rsidRDefault="00C85524" w:rsidP="00C85524">
      <w:pPr>
        <w:jc w:val="both"/>
      </w:pPr>
      <w:r>
        <w:t>γ) Η αύξηση του αριθμού των αρρώστων από τοπικά αντιβιοτικά δημιουργεί κινδύνους για την αποτελεσματικότητά τους σε άλλες περιοχές της ιατρικής όπου είναι περισσότερο χρήσιμα.</w:t>
      </w:r>
    </w:p>
    <w:p w:rsidR="00C85524" w:rsidRDefault="00C85524" w:rsidP="00C85524">
      <w:pPr>
        <w:jc w:val="both"/>
      </w:pPr>
    </w:p>
    <w:p w:rsidR="00C85524" w:rsidRDefault="00C85524" w:rsidP="00C85524">
      <w:pPr>
        <w:pStyle w:val="31"/>
      </w:pPr>
      <w:bookmarkStart w:id="7" w:name="_Toc424727837"/>
      <w:r>
        <w:t>Συνδυασμοί φαρμάκων:</w:t>
      </w:r>
      <w:bookmarkEnd w:id="7"/>
      <w:r>
        <w:t xml:space="preserve"> </w:t>
      </w:r>
    </w:p>
    <w:p w:rsidR="00C85524" w:rsidRDefault="00E61BC2" w:rsidP="00C85524">
      <w:pPr>
        <w:jc w:val="both"/>
      </w:pPr>
      <w:r>
        <w:t>Οι συνδυασμοί τρετινοΐ</w:t>
      </w:r>
      <w:r w:rsidR="00C85524">
        <w:t>νης και ερυθρομυκίνης, υπεροξειδίου του βενζολίου και ερυθρομυκίνης, υπεροξειδίου του βενζολίου και μικοναζόλης, υπεροξειδίου του βενζολίου και υδροξυκινολίνης, κ.α., δεν φαίνεται να εξυπηρετούν αφού η ακμή που δεν απαντά στα μεμονωμένα φάρμακα εκλογής δεν βελτιώνεται με τους συνδυασμούς (Cunliffe and Cotteril, 1975).</w:t>
      </w:r>
    </w:p>
    <w:p w:rsidR="00C85524" w:rsidRDefault="00C85524" w:rsidP="00C85524">
      <w:pPr>
        <w:jc w:val="both"/>
      </w:pPr>
    </w:p>
    <w:p w:rsidR="00C85524" w:rsidRDefault="00C85524" w:rsidP="00C85524">
      <w:pPr>
        <w:pStyle w:val="31"/>
      </w:pPr>
      <w:bookmarkStart w:id="8" w:name="_Toc424727838"/>
      <w:r>
        <w:t>Τοπικά κορτικοστεροειδή:</w:t>
      </w:r>
      <w:bookmarkEnd w:id="8"/>
      <w:r>
        <w:t xml:space="preserve"> </w:t>
      </w:r>
    </w:p>
    <w:p w:rsidR="00C85524" w:rsidRDefault="00C85524" w:rsidP="00C85524">
      <w:pPr>
        <w:jc w:val="both"/>
      </w:pPr>
      <w:r>
        <w:t>Σε χρήση μόνο για ενδοβλαβική έγχυση σε κύστεις κυστικής ακμής χωρίς ινώδη επεξεργασία και όπου δεν μπορεί να χρησιμοποιηθεί συστηματικά η ισοτρετινοίνη. Οι ανεπιθύμητες ενέργειες των τοπικών κορτικοστεροειδών, όπως ατροφία, τελεαγγειεκτασίες, υπερτρίχωση, κλπ, απαγορεύουν την εκτεταμένη και παρατεταμένη χρήση τους. Γενικά, δεν χορηγούνται στην ακμή.</w:t>
      </w:r>
    </w:p>
    <w:p w:rsidR="00C85524" w:rsidRDefault="00C85524" w:rsidP="00C85524"/>
    <w:p w:rsidR="00C85524" w:rsidRPr="00C85524" w:rsidRDefault="00E61BC2" w:rsidP="00C85524">
      <w:pPr>
        <w:pStyle w:val="31"/>
      </w:pPr>
      <w:bookmarkStart w:id="9" w:name="_Toc424727839"/>
      <w:bookmarkStart w:id="10" w:name="_GoBack"/>
      <w:r>
        <w:t>Αντισμηγματορροϊκά</w:t>
      </w:r>
      <w:r w:rsidR="00C85524">
        <w:t xml:space="preserve"> </w:t>
      </w:r>
      <w:bookmarkEnd w:id="10"/>
      <w:r w:rsidR="00C85524">
        <w:t>προιόντα:</w:t>
      </w:r>
      <w:bookmarkEnd w:id="9"/>
      <w:r w:rsidR="00C85524">
        <w:t xml:space="preserve"> </w:t>
      </w:r>
    </w:p>
    <w:p w:rsidR="00C85524" w:rsidRDefault="00C85524" w:rsidP="00C85524">
      <w:pPr>
        <w:jc w:val="both"/>
      </w:pPr>
      <w:r>
        <w:t xml:space="preserve">Τα προιόντα αυτά, παρότι πολλά υποσχόμενα στη θεραπευτική της ακμής, δεν φαίνεται με τις παρούσες γνώσεις να επιτυγχάνουν μείωση της σύνθεσης του σμήγματος. </w:t>
      </w:r>
      <w:r w:rsidR="00E61BC2">
        <w:t>Έτσι</w:t>
      </w:r>
      <w:r>
        <w:t>, α) τα αντισηπτικά, π.χ. το βορικό οξύ ή το εξαχλωροφαίνιο που περιέχονται σε πολλά καλλυντικά προιόντα καθαρισμού, δεν πλεονεκτούν από τα άλλα κοινά μέσα καθαρισμού,  β) τα σαπούνια προκαλούν απολίπανση, πράγμα που επιτυγχάνεται με οποιοδήποτε όξινο σαπούνι ή ουδέτερο,  γ) οι στυπτικές λοσιόν δεν επηρεάζουν την έκκριση του σμήγματος.</w:t>
      </w:r>
    </w:p>
    <w:p w:rsidR="0055055A" w:rsidRDefault="0055055A" w:rsidP="0055055A"/>
    <w:p w:rsidR="003D2038" w:rsidRPr="00E37F8E" w:rsidRDefault="003D2038" w:rsidP="003D2038">
      <w:pPr>
        <w:jc w:val="both"/>
        <w:rPr>
          <w:rFonts w:asciiTheme="minorHAnsi" w:hAnsiTheme="minorHAnsi"/>
          <w:sz w:val="24"/>
          <w:szCs w:val="24"/>
        </w:rPr>
      </w:pPr>
    </w:p>
    <w:p w:rsidR="00540ADE" w:rsidRPr="00550D3B" w:rsidRDefault="00540ADE" w:rsidP="00540ADE"/>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9C49B6">
        <w:rPr>
          <w:rFonts w:cs="Calibri"/>
        </w:rPr>
        <w:t xml:space="preserve">-Θ. Ενότητα </w:t>
      </w:r>
      <w:r w:rsidR="00C93327" w:rsidRPr="00C93327">
        <w:rPr>
          <w:rFonts w:cs="Calibri"/>
        </w:rPr>
        <w:t>2: Τοπικά φάρμακα κατά της ακμής</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Αναφοράς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Αδειοδότησης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Αναφοράς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Αδειοδότησης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0D12B0">
      <w:pPr>
        <w:pStyle w:val="a9"/>
        <w:numPr>
          <w:ilvl w:val="0"/>
          <w:numId w:val="1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1C4988" w:rsidRPr="001C4988">
        <w:rPr>
          <w:rFonts w:asciiTheme="minorHAnsi" w:hAnsiTheme="minorHAnsi"/>
        </w:rPr>
        <w:t xml:space="preserve">Η </w:t>
      </w:r>
      <w:r w:rsidR="001C4988">
        <w:rPr>
          <w:rFonts w:asciiTheme="minorHAnsi" w:hAnsiTheme="minorHAnsi"/>
        </w:rPr>
        <w:t>θεραπευτική της ακμής και η συμπτωματική της αντιμετώπιση από τον αισθητικό</w:t>
      </w:r>
      <w:r w:rsidRPr="004A4E2F">
        <w:rPr>
          <w:rFonts w:asciiTheme="minorHAnsi" w:hAnsiTheme="minorHAnsi"/>
        </w:rPr>
        <w:t xml:space="preserve">, ISBN </w:t>
      </w:r>
      <w:r w:rsidR="001C4988" w:rsidRPr="001C4988">
        <w:rPr>
          <w:rFonts w:asciiTheme="minorHAnsi" w:hAnsiTheme="minorHAnsi"/>
        </w:rPr>
        <w:t>960 - 90857 - 0 - 9</w:t>
      </w:r>
    </w:p>
    <w:p w:rsidR="00640294" w:rsidRPr="000D12B0" w:rsidRDefault="00640294" w:rsidP="003D4A85">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790F97">
          <w:rPr>
            <w:noProof/>
          </w:rPr>
          <w:t>6</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D033C6"/>
    <w:lvl w:ilvl="0">
      <w:numFmt w:val="bullet"/>
      <w:lvlText w:val="*"/>
      <w:lvlJc w:val="left"/>
    </w:lvl>
  </w:abstractNum>
  <w:abstractNum w:abstractNumId="1">
    <w:nsid w:val="08B77A66"/>
    <w:multiLevelType w:val="hybridMultilevel"/>
    <w:tmpl w:val="FCA289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6C06A02"/>
    <w:multiLevelType w:val="hybridMultilevel"/>
    <w:tmpl w:val="CC76540A"/>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1AB84890"/>
    <w:multiLevelType w:val="hybridMultilevel"/>
    <w:tmpl w:val="DED2B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774D2E"/>
    <w:multiLevelType w:val="hybridMultilevel"/>
    <w:tmpl w:val="99C24CE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6">
    <w:nsid w:val="2D640D47"/>
    <w:multiLevelType w:val="hybridMultilevel"/>
    <w:tmpl w:val="857C79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14D0DAE"/>
    <w:multiLevelType w:val="hybridMultilevel"/>
    <w:tmpl w:val="F85A5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9">
    <w:nsid w:val="3CC50025"/>
    <w:multiLevelType w:val="hybridMultilevel"/>
    <w:tmpl w:val="933CE0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3F027C08"/>
    <w:multiLevelType w:val="singleLevel"/>
    <w:tmpl w:val="3A0A160A"/>
    <w:lvl w:ilvl="0">
      <w:start w:val="1"/>
      <w:numFmt w:val="decimal"/>
      <w:lvlText w:val="2.3.2.%1 "/>
      <w:legacy w:legacy="1" w:legacySpace="0" w:legacyIndent="283"/>
      <w:lvlJc w:val="left"/>
      <w:pPr>
        <w:ind w:left="283" w:hanging="283"/>
      </w:pPr>
      <w:rPr>
        <w:rFonts w:ascii="Times New Roman" w:hAnsi="Times New Roman" w:cs="Times New Roman" w:hint="default"/>
        <w:b w:val="0"/>
        <w:i w:val="0"/>
        <w:color w:val="000000"/>
        <w:sz w:val="22"/>
        <w:u w:val="none"/>
      </w:rPr>
    </w:lvl>
  </w:abstractNum>
  <w:abstractNum w:abstractNumId="11">
    <w:nsid w:val="3F7D57A7"/>
    <w:multiLevelType w:val="hybridMultilevel"/>
    <w:tmpl w:val="C8A29F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430611AD"/>
    <w:multiLevelType w:val="hybridMultilevel"/>
    <w:tmpl w:val="D73CA4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3A379AF"/>
    <w:multiLevelType w:val="hybridMultilevel"/>
    <w:tmpl w:val="D020F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3A55BA5"/>
    <w:multiLevelType w:val="hybridMultilevel"/>
    <w:tmpl w:val="4E2A1ECE"/>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43CC3A82"/>
    <w:multiLevelType w:val="hybridMultilevel"/>
    <w:tmpl w:val="564E767C"/>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43D0C49"/>
    <w:multiLevelType w:val="hybridMultilevel"/>
    <w:tmpl w:val="D96EFAA4"/>
    <w:lvl w:ilvl="0" w:tplc="F5DA42B0">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8">
    <w:nsid w:val="46C960F7"/>
    <w:multiLevelType w:val="hybridMultilevel"/>
    <w:tmpl w:val="6BBEDB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F9D11BE"/>
    <w:multiLevelType w:val="hybridMultilevel"/>
    <w:tmpl w:val="5DE8ED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A3019DF"/>
    <w:multiLevelType w:val="hybridMultilevel"/>
    <w:tmpl w:val="48A692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E85E23"/>
    <w:multiLevelType w:val="multilevel"/>
    <w:tmpl w:val="95BE25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6145504E"/>
    <w:multiLevelType w:val="singleLevel"/>
    <w:tmpl w:val="0F4E9A04"/>
    <w:lvl w:ilvl="0">
      <w:start w:val="1"/>
      <w:numFmt w:val="decimal"/>
      <w:lvlText w:val="%1. "/>
      <w:legacy w:legacy="1" w:legacySpace="0" w:legacyIndent="283"/>
      <w:lvlJc w:val="left"/>
      <w:pPr>
        <w:ind w:left="283" w:hanging="283"/>
      </w:pPr>
      <w:rPr>
        <w:rFonts w:ascii="Times New Roman" w:hAnsi="Times New Roman" w:cs="Times New Roman" w:hint="default"/>
        <w:b/>
        <w:i w:val="0"/>
        <w:color w:val="000000"/>
        <w:sz w:val="22"/>
        <w:u w:val="none"/>
      </w:rPr>
    </w:lvl>
  </w:abstractNum>
  <w:abstractNum w:abstractNumId="23">
    <w:nsid w:val="636E31A9"/>
    <w:multiLevelType w:val="hybridMultilevel"/>
    <w:tmpl w:val="E69CA18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716110"/>
    <w:multiLevelType w:val="hybridMultilevel"/>
    <w:tmpl w:val="A84A89F6"/>
    <w:lvl w:ilvl="0" w:tplc="FFFFFFFF">
      <w:start w:val="1"/>
      <w:numFmt w:val="decimal"/>
      <w:lvlText w:val="%1)"/>
      <w:lvlJc w:val="left"/>
      <w:pPr>
        <w:tabs>
          <w:tab w:val="num" w:pos="810"/>
        </w:tabs>
        <w:ind w:left="810" w:hanging="45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1AC24CA"/>
    <w:multiLevelType w:val="hybridMultilevel"/>
    <w:tmpl w:val="1DDA86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AED160C"/>
    <w:multiLevelType w:val="hybridMultilevel"/>
    <w:tmpl w:val="C23AD3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7D5B56D7"/>
    <w:multiLevelType w:val="hybridMultilevel"/>
    <w:tmpl w:val="C832B190"/>
    <w:lvl w:ilvl="0" w:tplc="97A899C6">
      <w:start w:val="4"/>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num w:numId="1">
    <w:abstractNumId w:val="12"/>
  </w:num>
  <w:num w:numId="2">
    <w:abstractNumId w:val="1"/>
  </w:num>
  <w:num w:numId="3">
    <w:abstractNumId w:val="9"/>
  </w:num>
  <w:num w:numId="4">
    <w:abstractNumId w:val="3"/>
  </w:num>
  <w:num w:numId="5">
    <w:abstractNumId w:val="25"/>
  </w:num>
  <w:num w:numId="6">
    <w:abstractNumId w:val="23"/>
  </w:num>
  <w:num w:numId="7">
    <w:abstractNumId w:val="26"/>
  </w:num>
  <w:num w:numId="8">
    <w:abstractNumId w:val="6"/>
  </w:num>
  <w:num w:numId="9">
    <w:abstractNumId w:val="18"/>
  </w:num>
  <w:num w:numId="10">
    <w:abstractNumId w:val="4"/>
  </w:num>
  <w:num w:numId="11">
    <w:abstractNumId w:val="24"/>
  </w:num>
  <w:num w:numId="12">
    <w:abstractNumId w:val="11"/>
  </w:num>
  <w:num w:numId="13">
    <w:abstractNumId w:val="14"/>
  </w:num>
  <w:num w:numId="14">
    <w:abstractNumId w:val="2"/>
  </w:num>
  <w:num w:numId="15">
    <w:abstractNumId w:val="13"/>
  </w:num>
  <w:num w:numId="16">
    <w:abstractNumId w:val="16"/>
  </w:num>
  <w:num w:numId="17">
    <w:abstractNumId w:val="15"/>
  </w:num>
  <w:num w:numId="18">
    <w:abstractNumId w:val="17"/>
  </w:num>
  <w:num w:numId="19">
    <w:abstractNumId w:val="8"/>
  </w:num>
  <w:num w:numId="20">
    <w:abstractNumId w:val="19"/>
  </w:num>
  <w:num w:numId="21">
    <w:abstractNumId w:val="27"/>
  </w:num>
  <w:num w:numId="22">
    <w:abstractNumId w:val="7"/>
  </w:num>
  <w:num w:numId="23">
    <w:abstractNumId w:val="20"/>
  </w:num>
  <w:num w:numId="24">
    <w:abstractNumId w:val="22"/>
  </w:num>
  <w:num w:numId="25">
    <w:abstractNumId w:val="21"/>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10"/>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1C4988"/>
    <w:rsid w:val="0022253E"/>
    <w:rsid w:val="002F1F6D"/>
    <w:rsid w:val="00311D12"/>
    <w:rsid w:val="00390E18"/>
    <w:rsid w:val="003B1114"/>
    <w:rsid w:val="003D2038"/>
    <w:rsid w:val="003D4A85"/>
    <w:rsid w:val="003E416C"/>
    <w:rsid w:val="00430118"/>
    <w:rsid w:val="004B545E"/>
    <w:rsid w:val="00540ADE"/>
    <w:rsid w:val="0055055A"/>
    <w:rsid w:val="00550D3B"/>
    <w:rsid w:val="005807B0"/>
    <w:rsid w:val="005D0790"/>
    <w:rsid w:val="005D4B13"/>
    <w:rsid w:val="00640294"/>
    <w:rsid w:val="006670F4"/>
    <w:rsid w:val="00697534"/>
    <w:rsid w:val="006E4380"/>
    <w:rsid w:val="00790F97"/>
    <w:rsid w:val="008772F5"/>
    <w:rsid w:val="009C49B6"/>
    <w:rsid w:val="00A05069"/>
    <w:rsid w:val="00A22EEE"/>
    <w:rsid w:val="00AB0164"/>
    <w:rsid w:val="00AE7D22"/>
    <w:rsid w:val="00B450A2"/>
    <w:rsid w:val="00B853A2"/>
    <w:rsid w:val="00B945C7"/>
    <w:rsid w:val="00BE29D0"/>
    <w:rsid w:val="00C354F1"/>
    <w:rsid w:val="00C558FF"/>
    <w:rsid w:val="00C82CDA"/>
    <w:rsid w:val="00C85524"/>
    <w:rsid w:val="00C93327"/>
    <w:rsid w:val="00CD0A76"/>
    <w:rsid w:val="00E37F8E"/>
    <w:rsid w:val="00E61BC2"/>
    <w:rsid w:val="00EC6AC0"/>
    <w:rsid w:val="00F42BF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26"/>
      </w:numPr>
    </w:pPr>
  </w:style>
  <w:style w:type="paragraph" w:customStyle="1" w:styleId="21">
    <w:name w:val="Επικεφαλίδα 21"/>
    <w:basedOn w:val="2"/>
    <w:rsid w:val="0055055A"/>
    <w:pPr>
      <w:numPr>
        <w:ilvl w:val="1"/>
        <w:numId w:val="26"/>
      </w:numPr>
    </w:pPr>
  </w:style>
  <w:style w:type="paragraph" w:customStyle="1" w:styleId="31">
    <w:name w:val="Επικεφαλίδα 31"/>
    <w:basedOn w:val="3"/>
    <w:rsid w:val="0055055A"/>
    <w:pPr>
      <w:numPr>
        <w:ilvl w:val="2"/>
        <w:numId w:val="26"/>
      </w:numPr>
    </w:pPr>
  </w:style>
  <w:style w:type="paragraph" w:customStyle="1" w:styleId="41">
    <w:name w:val="Επικεφαλίδα 41"/>
    <w:basedOn w:val="4"/>
    <w:rsid w:val="0055055A"/>
    <w:pPr>
      <w:numPr>
        <w:ilvl w:val="3"/>
        <w:numId w:val="26"/>
      </w:numPr>
    </w:pPr>
  </w:style>
  <w:style w:type="paragraph" w:customStyle="1" w:styleId="51">
    <w:name w:val="Επικεφαλίδα 51"/>
    <w:basedOn w:val="a"/>
    <w:rsid w:val="0055055A"/>
    <w:pPr>
      <w:numPr>
        <w:ilvl w:val="4"/>
        <w:numId w:val="26"/>
      </w:numPr>
    </w:pPr>
  </w:style>
  <w:style w:type="paragraph" w:customStyle="1" w:styleId="61">
    <w:name w:val="Επικεφαλίδα 61"/>
    <w:basedOn w:val="a"/>
    <w:rsid w:val="0055055A"/>
    <w:pPr>
      <w:numPr>
        <w:ilvl w:val="5"/>
        <w:numId w:val="26"/>
      </w:numPr>
    </w:pPr>
  </w:style>
  <w:style w:type="paragraph" w:customStyle="1" w:styleId="71">
    <w:name w:val="Επικεφαλίδα 71"/>
    <w:basedOn w:val="a"/>
    <w:rsid w:val="0055055A"/>
    <w:pPr>
      <w:numPr>
        <w:ilvl w:val="6"/>
        <w:numId w:val="26"/>
      </w:numPr>
    </w:pPr>
  </w:style>
  <w:style w:type="paragraph" w:customStyle="1" w:styleId="81">
    <w:name w:val="Επικεφαλίδα 81"/>
    <w:basedOn w:val="a"/>
    <w:rsid w:val="0055055A"/>
    <w:pPr>
      <w:numPr>
        <w:ilvl w:val="7"/>
        <w:numId w:val="26"/>
      </w:numPr>
    </w:pPr>
  </w:style>
  <w:style w:type="paragraph" w:customStyle="1" w:styleId="91">
    <w:name w:val="Επικεφαλίδα 91"/>
    <w:basedOn w:val="a"/>
    <w:rsid w:val="0055055A"/>
    <w:pPr>
      <w:numPr>
        <w:ilvl w:val="8"/>
        <w:numId w:val="26"/>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26"/>
      </w:numPr>
    </w:pPr>
  </w:style>
  <w:style w:type="paragraph" w:customStyle="1" w:styleId="21">
    <w:name w:val="Επικεφαλίδα 21"/>
    <w:basedOn w:val="2"/>
    <w:rsid w:val="0055055A"/>
    <w:pPr>
      <w:numPr>
        <w:ilvl w:val="1"/>
        <w:numId w:val="26"/>
      </w:numPr>
    </w:pPr>
  </w:style>
  <w:style w:type="paragraph" w:customStyle="1" w:styleId="31">
    <w:name w:val="Επικεφαλίδα 31"/>
    <w:basedOn w:val="3"/>
    <w:rsid w:val="0055055A"/>
    <w:pPr>
      <w:numPr>
        <w:ilvl w:val="2"/>
        <w:numId w:val="26"/>
      </w:numPr>
    </w:pPr>
  </w:style>
  <w:style w:type="paragraph" w:customStyle="1" w:styleId="41">
    <w:name w:val="Επικεφαλίδα 41"/>
    <w:basedOn w:val="4"/>
    <w:rsid w:val="0055055A"/>
    <w:pPr>
      <w:numPr>
        <w:ilvl w:val="3"/>
        <w:numId w:val="26"/>
      </w:numPr>
    </w:pPr>
  </w:style>
  <w:style w:type="paragraph" w:customStyle="1" w:styleId="51">
    <w:name w:val="Επικεφαλίδα 51"/>
    <w:basedOn w:val="a"/>
    <w:rsid w:val="0055055A"/>
    <w:pPr>
      <w:numPr>
        <w:ilvl w:val="4"/>
        <w:numId w:val="26"/>
      </w:numPr>
    </w:pPr>
  </w:style>
  <w:style w:type="paragraph" w:customStyle="1" w:styleId="61">
    <w:name w:val="Επικεφαλίδα 61"/>
    <w:basedOn w:val="a"/>
    <w:rsid w:val="0055055A"/>
    <w:pPr>
      <w:numPr>
        <w:ilvl w:val="5"/>
        <w:numId w:val="26"/>
      </w:numPr>
    </w:pPr>
  </w:style>
  <w:style w:type="paragraph" w:customStyle="1" w:styleId="71">
    <w:name w:val="Επικεφαλίδα 71"/>
    <w:basedOn w:val="a"/>
    <w:rsid w:val="0055055A"/>
    <w:pPr>
      <w:numPr>
        <w:ilvl w:val="6"/>
        <w:numId w:val="26"/>
      </w:numPr>
    </w:pPr>
  </w:style>
  <w:style w:type="paragraph" w:customStyle="1" w:styleId="81">
    <w:name w:val="Επικεφαλίδα 81"/>
    <w:basedOn w:val="a"/>
    <w:rsid w:val="0055055A"/>
    <w:pPr>
      <w:numPr>
        <w:ilvl w:val="7"/>
        <w:numId w:val="26"/>
      </w:numPr>
    </w:pPr>
  </w:style>
  <w:style w:type="paragraph" w:customStyle="1" w:styleId="91">
    <w:name w:val="Επικεφαλίδα 91"/>
    <w:basedOn w:val="a"/>
    <w:rsid w:val="0055055A"/>
    <w:pPr>
      <w:numPr>
        <w:ilvl w:val="8"/>
        <w:numId w:val="26"/>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C5317-986B-41C9-80E8-13DE97BC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2173</Words>
  <Characters>11736</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6</cp:revision>
  <cp:lastPrinted>2014-11-05T10:59:00Z</cp:lastPrinted>
  <dcterms:created xsi:type="dcterms:W3CDTF">2015-06-03T09:31:00Z</dcterms:created>
  <dcterms:modified xsi:type="dcterms:W3CDTF">2015-07-15T10:00:00Z</dcterms:modified>
</cp:coreProperties>
</file>