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3B515C">
      <w:pPr>
        <w:rPr>
          <w:rFonts w:cs="Calibri"/>
          <w:b/>
          <w:bCs/>
          <w:sz w:val="28"/>
          <w:szCs w:val="28"/>
        </w:rPr>
      </w:pPr>
      <w:r w:rsidRPr="006071F6">
        <w:rPr>
          <w:rFonts w:cs="Calibri"/>
          <w:b/>
          <w:bCs/>
          <w:sz w:val="28"/>
          <w:szCs w:val="28"/>
        </w:rPr>
        <w:t>Εν</w:t>
      </w:r>
      <w:r>
        <w:rPr>
          <w:rFonts w:cs="Calibri"/>
          <w:b/>
          <w:bCs/>
          <w:sz w:val="28"/>
          <w:szCs w:val="28"/>
        </w:rPr>
        <w:t xml:space="preserve">ότητα </w:t>
      </w:r>
      <w:r w:rsidR="003B515C">
        <w:rPr>
          <w:rFonts w:cs="Calibri"/>
          <w:b/>
          <w:bCs/>
          <w:sz w:val="28"/>
          <w:szCs w:val="28"/>
        </w:rPr>
        <w:t>3</w:t>
      </w:r>
      <w:r w:rsidRPr="006071F6">
        <w:rPr>
          <w:rFonts w:cs="Calibri"/>
          <w:b/>
          <w:bCs/>
          <w:sz w:val="28"/>
          <w:szCs w:val="28"/>
        </w:rPr>
        <w:t xml:space="preserve">: </w:t>
      </w:r>
      <w:r w:rsidR="003B515C">
        <w:rPr>
          <w:rFonts w:cs="Calibri"/>
          <w:b/>
          <w:bCs/>
          <w:sz w:val="28"/>
          <w:szCs w:val="28"/>
        </w:rPr>
        <w:t>Τα συστηματικώς χορηγούμενα αντιβιοτικά στην κοινή ακμή</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sdt>
      <w:sdtPr>
        <w:rPr>
          <w:rFonts w:ascii="Calibri" w:eastAsia="Calibri" w:hAnsi="Calibri" w:cs="Times New Roman"/>
          <w:b w:val="0"/>
          <w:bCs w:val="0"/>
          <w:color w:val="auto"/>
          <w:sz w:val="22"/>
          <w:szCs w:val="22"/>
          <w:lang w:eastAsia="en-US"/>
        </w:rPr>
        <w:id w:val="1958685961"/>
        <w:docPartObj>
          <w:docPartGallery w:val="Table of Contents"/>
          <w:docPartUnique/>
        </w:docPartObj>
      </w:sdtPr>
      <w:sdtEndPr/>
      <w:sdtContent>
        <w:p w:rsidR="005D4B13" w:rsidRDefault="005D4B13">
          <w:pPr>
            <w:pStyle w:val="a4"/>
          </w:pPr>
          <w:r>
            <w:t>Περιεχόμενα</w:t>
          </w:r>
        </w:p>
        <w:p w:rsidR="007408A0" w:rsidRDefault="005D4B13">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1099236" w:history="1">
            <w:r w:rsidR="007408A0" w:rsidRPr="00647CF6">
              <w:rPr>
                <w:rStyle w:val="-"/>
                <w:noProof/>
              </w:rPr>
              <w:t>3</w:t>
            </w:r>
            <w:r w:rsidR="007408A0">
              <w:rPr>
                <w:rFonts w:asciiTheme="minorHAnsi" w:eastAsiaTheme="minorEastAsia" w:hAnsiTheme="minorHAnsi" w:cstheme="minorBidi"/>
                <w:noProof/>
                <w:lang w:eastAsia="el-GR"/>
              </w:rPr>
              <w:tab/>
            </w:r>
            <w:r w:rsidR="007408A0" w:rsidRPr="00647CF6">
              <w:rPr>
                <w:rStyle w:val="-"/>
                <w:noProof/>
              </w:rPr>
              <w:t>Τα συστηματικώς χορηγούμενα αντιβιοτικά στην κοινή ακμή</w:t>
            </w:r>
            <w:r w:rsidR="007408A0">
              <w:rPr>
                <w:noProof/>
                <w:webHidden/>
              </w:rPr>
              <w:tab/>
            </w:r>
            <w:r w:rsidR="007408A0">
              <w:rPr>
                <w:noProof/>
                <w:webHidden/>
              </w:rPr>
              <w:fldChar w:fldCharType="begin"/>
            </w:r>
            <w:r w:rsidR="007408A0">
              <w:rPr>
                <w:noProof/>
                <w:webHidden/>
              </w:rPr>
              <w:instrText xml:space="preserve"> PAGEREF _Toc421099236 \h </w:instrText>
            </w:r>
            <w:r w:rsidR="007408A0">
              <w:rPr>
                <w:noProof/>
                <w:webHidden/>
              </w:rPr>
            </w:r>
            <w:r w:rsidR="007408A0">
              <w:rPr>
                <w:noProof/>
                <w:webHidden/>
              </w:rPr>
              <w:fldChar w:fldCharType="separate"/>
            </w:r>
            <w:r w:rsidR="007408A0">
              <w:rPr>
                <w:noProof/>
                <w:webHidden/>
              </w:rPr>
              <w:t>3</w:t>
            </w:r>
            <w:r w:rsidR="007408A0">
              <w:rPr>
                <w:noProof/>
                <w:webHidden/>
              </w:rPr>
              <w:fldChar w:fldCharType="end"/>
            </w:r>
          </w:hyperlink>
        </w:p>
        <w:p w:rsidR="005D4B13" w:rsidRDefault="005D4B13">
          <w:r>
            <w:rPr>
              <w:b/>
              <w:bCs/>
            </w:rPr>
            <w:fldChar w:fldCharType="end"/>
          </w:r>
        </w:p>
      </w:sdtContent>
    </w:sdt>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3B515C" w:rsidRDefault="003B515C" w:rsidP="003B515C">
      <w:pPr>
        <w:pStyle w:val="12"/>
      </w:pPr>
      <w:bookmarkStart w:id="0" w:name="_Toc421099236"/>
      <w:r w:rsidRPr="003B515C">
        <w:lastRenderedPageBreak/>
        <w:t>Τα συστηματικώς χορηγούμενα αντιβιοτικά στην κοινή ακμή</w:t>
      </w:r>
      <w:bookmarkEnd w:id="0"/>
    </w:p>
    <w:p w:rsidR="003B515C" w:rsidRDefault="003B515C" w:rsidP="003B515C">
      <w:pPr>
        <w:ind w:firstLine="720"/>
        <w:jc w:val="both"/>
      </w:pPr>
      <w:r>
        <w:t xml:space="preserve">Οι στόχοι της χορήγησης των αντιβιοτικών είναι, </w:t>
      </w:r>
      <w:r w:rsidR="009D4A4C">
        <w:t>αφενός</w:t>
      </w:r>
      <w:r>
        <w:t xml:space="preserve"> η μεταβολή της σύστασης της μικροβιακής χλωρίδας, δηλαδή η μείωση του αριθμού των προπιονιβακτηριδίων της ακμής και αφ' ετέρου η μείωση των ελεύθερων λιπαρών οξέων και των προιόντων της χημειοταξίας των ουδετεροφίλων. Οι διάφορες ομάδες τετρακυκλινών που χρησιμοποιούνται στη θεραπεία της κοινής ακμής αναφέρονται στον Πίνακα 3.1.</w:t>
      </w:r>
    </w:p>
    <w:p w:rsidR="003B515C" w:rsidRDefault="003B515C" w:rsidP="003B515C"/>
    <w:p w:rsidR="003B515C" w:rsidRDefault="003B515C" w:rsidP="003B515C">
      <w:r>
        <w:t>Πίνακας 3.1.</w:t>
      </w:r>
    </w:p>
    <w:p w:rsidR="003B515C" w:rsidRDefault="003B515C" w:rsidP="003B515C">
      <w:r>
        <w:t>Μορφές τετρακυκλινών στην αντιμετώπιση της κοινής ακμής.</w:t>
      </w:r>
    </w:p>
    <w:tbl>
      <w:tblPr>
        <w:tblStyle w:val="aa"/>
        <w:tblW w:w="0" w:type="auto"/>
        <w:tblLook w:val="04A0" w:firstRow="1" w:lastRow="0" w:firstColumn="1" w:lastColumn="0" w:noHBand="0" w:noVBand="1"/>
      </w:tblPr>
      <w:tblGrid>
        <w:gridCol w:w="4981"/>
        <w:gridCol w:w="4981"/>
      </w:tblGrid>
      <w:tr w:rsidR="003B515C" w:rsidTr="003B515C">
        <w:tc>
          <w:tcPr>
            <w:tcW w:w="4981" w:type="dxa"/>
          </w:tcPr>
          <w:p w:rsidR="003B515C" w:rsidRPr="003B515C" w:rsidRDefault="003B515C" w:rsidP="003B515C">
            <w:pPr>
              <w:rPr>
                <w:lang w:val="el-GR"/>
              </w:rPr>
            </w:pPr>
            <w:r>
              <w:t xml:space="preserve">Δραστική ουσία                                </w:t>
            </w:r>
          </w:p>
        </w:tc>
        <w:tc>
          <w:tcPr>
            <w:tcW w:w="4981" w:type="dxa"/>
          </w:tcPr>
          <w:p w:rsidR="003B515C" w:rsidRPr="003B515C" w:rsidRDefault="003B515C" w:rsidP="003B515C">
            <w:pPr>
              <w:rPr>
                <w:lang w:val="el-GR"/>
              </w:rPr>
            </w:pPr>
            <w:r>
              <w:t>Περιεκτικότητα</w:t>
            </w:r>
          </w:p>
        </w:tc>
      </w:tr>
      <w:tr w:rsidR="003B515C" w:rsidTr="003B515C">
        <w:tc>
          <w:tcPr>
            <w:tcW w:w="4981" w:type="dxa"/>
          </w:tcPr>
          <w:p w:rsidR="003B515C" w:rsidRPr="003B515C" w:rsidRDefault="003B515C" w:rsidP="003B515C">
            <w:pPr>
              <w:rPr>
                <w:lang w:val="el-GR"/>
              </w:rPr>
            </w:pPr>
            <w:r>
              <w:t>Τετρακυλίνη - υδροχλωρική</w:t>
            </w:r>
          </w:p>
        </w:tc>
        <w:tc>
          <w:tcPr>
            <w:tcW w:w="4981" w:type="dxa"/>
          </w:tcPr>
          <w:p w:rsidR="003B515C" w:rsidRPr="0056704E" w:rsidRDefault="003B515C" w:rsidP="00B25857">
            <w:r w:rsidRPr="0056704E">
              <w:t xml:space="preserve">500 mg </w:t>
            </w:r>
          </w:p>
        </w:tc>
      </w:tr>
      <w:tr w:rsidR="003B515C" w:rsidTr="003B515C">
        <w:tc>
          <w:tcPr>
            <w:tcW w:w="4981" w:type="dxa"/>
          </w:tcPr>
          <w:p w:rsidR="003B515C" w:rsidRPr="003B515C" w:rsidRDefault="003B515C" w:rsidP="003B515C">
            <w:pPr>
              <w:rPr>
                <w:lang w:val="el-GR"/>
              </w:rPr>
            </w:pPr>
          </w:p>
        </w:tc>
        <w:tc>
          <w:tcPr>
            <w:tcW w:w="4981" w:type="dxa"/>
          </w:tcPr>
          <w:p w:rsidR="003B515C" w:rsidRPr="0056704E" w:rsidRDefault="003B515C" w:rsidP="00B25857">
            <w:r w:rsidRPr="0056704E">
              <w:t>250 mg</w:t>
            </w:r>
          </w:p>
        </w:tc>
      </w:tr>
      <w:tr w:rsidR="003B515C" w:rsidTr="003B515C">
        <w:tc>
          <w:tcPr>
            <w:tcW w:w="4981" w:type="dxa"/>
          </w:tcPr>
          <w:p w:rsidR="003B515C" w:rsidRPr="003B515C" w:rsidRDefault="003B515C" w:rsidP="003B515C">
            <w:pPr>
              <w:rPr>
                <w:i/>
                <w:lang w:val="el-GR"/>
              </w:rPr>
            </w:pPr>
          </w:p>
        </w:tc>
        <w:tc>
          <w:tcPr>
            <w:tcW w:w="4981" w:type="dxa"/>
          </w:tcPr>
          <w:p w:rsidR="003B515C" w:rsidRPr="0056704E" w:rsidRDefault="003B515C" w:rsidP="00B25857">
            <w:r w:rsidRPr="0056704E">
              <w:t>50 mg, 100 mg</w:t>
            </w:r>
          </w:p>
        </w:tc>
      </w:tr>
      <w:tr w:rsidR="003B515C" w:rsidTr="003B515C">
        <w:tc>
          <w:tcPr>
            <w:tcW w:w="4981" w:type="dxa"/>
          </w:tcPr>
          <w:p w:rsidR="003B515C" w:rsidRPr="003B515C" w:rsidRDefault="003B515C" w:rsidP="009E35AB">
            <w:r w:rsidRPr="003B515C">
              <w:t>Τετρακυλίνη - Αμφοτερικίνη</w:t>
            </w:r>
          </w:p>
        </w:tc>
        <w:tc>
          <w:tcPr>
            <w:tcW w:w="4981" w:type="dxa"/>
          </w:tcPr>
          <w:p w:rsidR="003B515C" w:rsidRPr="003B515C" w:rsidRDefault="003B515C" w:rsidP="003B515C">
            <w:pPr>
              <w:rPr>
                <w:lang w:val="el-GR"/>
              </w:rPr>
            </w:pPr>
            <w:r>
              <w:t>250 mg</w:t>
            </w:r>
          </w:p>
        </w:tc>
      </w:tr>
      <w:tr w:rsidR="003B515C" w:rsidTr="003B515C">
        <w:tc>
          <w:tcPr>
            <w:tcW w:w="4981" w:type="dxa"/>
          </w:tcPr>
          <w:p w:rsidR="003B515C" w:rsidRPr="003B515C" w:rsidRDefault="003B515C" w:rsidP="009E35AB">
            <w:r w:rsidRPr="003B515C">
              <w:t>Οξυτετρακυλίνη</w:t>
            </w:r>
          </w:p>
        </w:tc>
        <w:tc>
          <w:tcPr>
            <w:tcW w:w="4981" w:type="dxa"/>
          </w:tcPr>
          <w:p w:rsidR="003B515C" w:rsidRPr="003B515C" w:rsidRDefault="003B515C" w:rsidP="003B515C">
            <w:pPr>
              <w:rPr>
                <w:lang w:val="el-GR"/>
              </w:rPr>
            </w:pPr>
            <w:r>
              <w:t>250 mg</w:t>
            </w:r>
          </w:p>
        </w:tc>
      </w:tr>
      <w:tr w:rsidR="003B515C" w:rsidTr="003B515C">
        <w:tc>
          <w:tcPr>
            <w:tcW w:w="4981" w:type="dxa"/>
          </w:tcPr>
          <w:p w:rsidR="003B515C" w:rsidRPr="003B515C" w:rsidRDefault="003B515C" w:rsidP="009E35AB">
            <w:r w:rsidRPr="003B515C">
              <w:t xml:space="preserve">Δοξυκυκλίνη </w:t>
            </w:r>
          </w:p>
        </w:tc>
        <w:tc>
          <w:tcPr>
            <w:tcW w:w="4981" w:type="dxa"/>
          </w:tcPr>
          <w:p w:rsidR="003B515C" w:rsidRPr="003B515C" w:rsidRDefault="003B515C" w:rsidP="003B515C">
            <w:pPr>
              <w:rPr>
                <w:lang w:val="el-GR"/>
              </w:rPr>
            </w:pPr>
            <w:r>
              <w:t>100 mg</w:t>
            </w:r>
          </w:p>
        </w:tc>
      </w:tr>
      <w:tr w:rsidR="003B515C" w:rsidTr="003B515C">
        <w:tc>
          <w:tcPr>
            <w:tcW w:w="4981" w:type="dxa"/>
          </w:tcPr>
          <w:p w:rsidR="003B515C" w:rsidRPr="003B515C" w:rsidRDefault="003B515C" w:rsidP="009E35AB">
            <w:r>
              <w:t>Διμεθυλοχλωροτετρακυκλίνη</w:t>
            </w:r>
            <w:r>
              <w:tab/>
            </w:r>
          </w:p>
        </w:tc>
        <w:tc>
          <w:tcPr>
            <w:tcW w:w="4981" w:type="dxa"/>
          </w:tcPr>
          <w:p w:rsidR="003B515C" w:rsidRDefault="003B515C" w:rsidP="003B515C">
            <w:r>
              <w:t>300 mg</w:t>
            </w:r>
          </w:p>
        </w:tc>
      </w:tr>
    </w:tbl>
    <w:p w:rsidR="003B515C" w:rsidRDefault="003B515C" w:rsidP="003B515C">
      <w:r>
        <w:tab/>
      </w:r>
      <w:r>
        <w:tab/>
      </w:r>
      <w:r>
        <w:tab/>
      </w:r>
      <w:r>
        <w:tab/>
      </w:r>
    </w:p>
    <w:p w:rsidR="003B515C" w:rsidRDefault="003B515C" w:rsidP="003B515C">
      <w:pPr>
        <w:ind w:firstLine="720"/>
        <w:jc w:val="both"/>
      </w:pPr>
      <w:r>
        <w:t>Η σειρά με την οποία αναφέρονται δεν είναι τυχαία, αλλά υποδηλώνει από την μία την αποτελεσματικότητα και από την άλλη τις λιγότερο ανεπιθύμητες ενέργειες. Πρέπει να τονισθεί ότι αντιβιοτικά χορηγούνται μόνο σε φλεγμονώδεις μορφές ακμής. Η χορήγηση αντιβιοτικού σε μη φλεγμονώδη μορφή, όπως σε μια καθαρά φαγεσωρική ακμή, δεν ενδείκνυται. Η χορηγούμενη ποσότητα του αντιβιοτικού ποικίλλει ανάλογα με τη βαρύτητα της ακμής που αντιμετωπίζουμε.</w:t>
      </w:r>
    </w:p>
    <w:p w:rsidR="003B515C" w:rsidRDefault="003B515C" w:rsidP="003B515C">
      <w:pPr>
        <w:ind w:firstLine="720"/>
        <w:jc w:val="both"/>
      </w:pPr>
    </w:p>
    <w:p w:rsidR="003B515C" w:rsidRDefault="003B515C" w:rsidP="003B515C">
      <w:pPr>
        <w:ind w:firstLine="720"/>
        <w:jc w:val="both"/>
      </w:pPr>
      <w:r>
        <w:t>Το συνηθισμένο θεραπευτικό σχήμα σε μια βαριά βλατιδοφλυκταινώδη ακμή, αρχικά είναι η λήψη 1 gr υδροχλωρικής τετρακυλίνης την ημέρα για έναν μήνα και στη συνέχεια μείωση της δόσης σε 750 mg την ημέρα για τις επόμενες 15 ημέρες και, ανάλογα με την κλινική βελτίωση, παραπέρα μείωση της δόσης κατά 250 mg κάθε δεκαπενθήμερο.</w:t>
      </w:r>
    </w:p>
    <w:p w:rsidR="003B515C" w:rsidRDefault="003B515C" w:rsidP="003B515C"/>
    <w:p w:rsidR="003B515C" w:rsidRDefault="003B515C" w:rsidP="003B515C">
      <w:pPr>
        <w:ind w:firstLine="720"/>
        <w:jc w:val="both"/>
      </w:pPr>
      <w:r>
        <w:t xml:space="preserve">Η δυσκολία στη χορήγηση των τετρακυκλινών είναι ο τρόπος λήψεώς τους, δηλαδή σε άδειο στομάχι, με αρκετό νερό, 1 ώρα πριν ή 2 ώρες μετά το φαγητό, χωρίς σύγχρονη λήψη γάλακτος που αδρανοποιεί το αντιβιοτικό. Για τους παραπάνω λόγους χρησιμοποιούνται παράγωγα τετρακυκλινών όπως η μινοκυκλίνη, που είναι περισσότερο λιποδιαλυτή από την τετρακυκλίνη και χορηγείται σε πολύ μικρότερες δόσεις (150-200 mg την ημέρα σαν αρχική δόση και στη συνέχεια, μετά από έναν έως ενάμισυ </w:t>
      </w:r>
      <w:r>
        <w:lastRenderedPageBreak/>
        <w:t>μήνα, μειώνεται), αλλά οι ίλιγγοι που προκαλεί το σκεύασμα αυτό αποτελούν τον βασικό λόγο που η συνταγογράφησή του είναι περιορισμένη.</w:t>
      </w:r>
    </w:p>
    <w:p w:rsidR="003B515C" w:rsidRDefault="003B515C" w:rsidP="003B515C"/>
    <w:p w:rsidR="003B515C" w:rsidRDefault="003B515C" w:rsidP="003B515C">
      <w:pPr>
        <w:ind w:firstLine="720"/>
        <w:jc w:val="both"/>
      </w:pPr>
      <w:r>
        <w:t>Οι άλλες μορφές τετρακυκλινών χρησιμοποιούνται ευρύτατα αλλά έχουν το μειονέκτημα να μην απορροφούνται τόσο καλά όσο οι δύο προηγούμενες μορφές. Το τελευταίο έχει το μειονέκτημα να δημιουργεί φωτοευαισθησία και φωτοονυχόλυση.</w:t>
      </w:r>
    </w:p>
    <w:p w:rsidR="003B515C" w:rsidRDefault="003B515C" w:rsidP="003B515C"/>
    <w:p w:rsidR="003B515C" w:rsidRDefault="003B515C" w:rsidP="003B515C">
      <w:pPr>
        <w:ind w:firstLine="720"/>
        <w:jc w:val="both"/>
      </w:pPr>
      <w:r>
        <w:t>Σε γενικές γραμμές, η δράση των τετρακυκλινών στην κοινή ακμή συνοψίζεται ως εξής: Με τη μείωση του αριθμού των π.α. ασκούν βακτηριοστατική δράση ενώ ταυτόχρονα έχουν αντιφλεγμονώδη δράση διότι μειώνουν την ποσότητα των λιπαρών οξέων αναστέλλοντας τη λιπόλυση. Επιπλέον, παρουσιάζουν εκλεκτική συσσώρευση στις φλεγμονώδεις εστίες και στο σμήγμα. Τέλος, οι τετρακυκλίνες προκαλούν λέπτυνση της κεράτινης στιβάδας στο ενδοκόλπωμα που διευκολύνει την ανεμπόδιστη διοχέτευση του σμήγματος προς την επιφάνεια του δέρματος. Παρ'όλα αυτά, βέβαια, η χορήγηση των τετρακυκλινών μπορεί να έχει ορισμένες ανεπιθύμητες ενέργειες, όπως γαστρεντερικές διαταραχές, αναιμία, κίτρινη χρώση δοντιών, Gram-αρνητική θυλακίτιδα,</w:t>
      </w:r>
      <w:r w:rsidR="009D4A4C">
        <w:t xml:space="preserve"> </w:t>
      </w:r>
      <w:r>
        <w:t>σταθερό φαρμακευτικό εξάνθημα.</w:t>
      </w:r>
    </w:p>
    <w:p w:rsidR="003B515C" w:rsidRDefault="003B515C" w:rsidP="003B515C"/>
    <w:p w:rsidR="003B515C" w:rsidRDefault="003B515C" w:rsidP="003B515C">
      <w:pPr>
        <w:ind w:firstLine="720"/>
        <w:jc w:val="both"/>
      </w:pPr>
      <w:r>
        <w:t>Εκτός από τις τετρακυκλίνες, η κοινή ακμή αντιμετωπίζεται με τη χορήγηση στεατικής και αιθυλο-ηλεκτρικής ερυθρομυκίνης. Η θεραπευτική δόση για μέτριας βαρύτητας ακμή κυμαίνεται από 1 έως 1,5 gr ερυθρομυκίνης την ημέρα για διάστημα 45 ημερών και ανάλογη μείωση στη συνέχεια.</w:t>
      </w:r>
    </w:p>
    <w:p w:rsidR="003B515C" w:rsidRDefault="003B515C" w:rsidP="003B515C"/>
    <w:p w:rsidR="003B515C" w:rsidRDefault="003B515C" w:rsidP="003B515C">
      <w:pPr>
        <w:ind w:firstLine="720"/>
        <w:jc w:val="both"/>
      </w:pPr>
      <w:r>
        <w:t>Ο συνδυασμός τριμεθοπρίμης-σουλφομεθαξαζόλης χρησιμοποιείται περισσότερο στις βαριές μορφές ακμής που δεν υπακούουν στα συνήθη θεραπευτικά σχήματα. Η συνηθισμένη δόση του φαρμάκου είναι 200 mg την ημέρα και η κυριότερη ανεπιθύμητη ενέργειά του είναι το σταθερό φαρμακευτικό εξάνθημα που εμφανίζεται.</w:t>
      </w:r>
    </w:p>
    <w:p w:rsidR="003B515C" w:rsidRDefault="003B515C" w:rsidP="003B515C"/>
    <w:p w:rsidR="003B515C" w:rsidRDefault="003B515C" w:rsidP="003B515C">
      <w:pPr>
        <w:ind w:firstLine="720"/>
        <w:jc w:val="both"/>
      </w:pPr>
      <w:r>
        <w:t>Η λινκομυκίνη και το παράγωγό της, η κλινταμυκίνη, είναι πολύ πιο αποτελεσματικά στην κοινή ακμή, όμως λόγω του κινδύνου δημιουργίας ψευδομεμβρανώδους κολίτιδος, δεν χρησιμοποιούνται ευρύτατα.</w:t>
      </w:r>
    </w:p>
    <w:p w:rsidR="00540ADE" w:rsidRPr="00550D3B" w:rsidRDefault="00540ADE" w:rsidP="00540ADE"/>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bookmarkStart w:id="1" w:name="_GoBack"/>
      <w:bookmarkEnd w:id="1"/>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7408A0">
        <w:rPr>
          <w:rFonts w:cs="Calibri"/>
        </w:rPr>
        <w:t xml:space="preserve">-Θ. Ενότητα </w:t>
      </w:r>
      <w:r w:rsidR="007408A0" w:rsidRPr="007408A0">
        <w:rPr>
          <w:rFonts w:cs="Calibri"/>
        </w:rPr>
        <w:t>3: Τα συστηματικώς χορηγούμενα αντιβιοτικά στην κοινή ακμή</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1C4988" w:rsidRPr="001C4988">
        <w:rPr>
          <w:rFonts w:asciiTheme="minorHAnsi" w:hAnsiTheme="minorHAnsi"/>
        </w:rPr>
        <w:t xml:space="preserve">Η </w:t>
      </w:r>
      <w:r w:rsidR="001C4988">
        <w:rPr>
          <w:rFonts w:asciiTheme="minorHAnsi" w:hAnsiTheme="minorHAnsi"/>
        </w:rPr>
        <w:t>θεραπευτική της ακμής και η συμπτωματική της αντιμετώπιση από τον αισθητικό</w:t>
      </w:r>
      <w:r w:rsidRPr="004A4E2F">
        <w:rPr>
          <w:rFonts w:asciiTheme="minorHAnsi" w:hAnsiTheme="minorHAnsi"/>
        </w:rPr>
        <w:t xml:space="preserve">, ISBN </w:t>
      </w:r>
      <w:r w:rsidR="001C4988" w:rsidRPr="001C4988">
        <w:rPr>
          <w:rFonts w:asciiTheme="minorHAnsi" w:hAnsiTheme="minorHAnsi"/>
        </w:rPr>
        <w:t>960 - 90857 - 0 - 9</w:t>
      </w:r>
    </w:p>
    <w:p w:rsidR="00640294" w:rsidRPr="000D12B0" w:rsidRDefault="00640294" w:rsidP="003D4A8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9D4A4C">
          <w:rPr>
            <w:noProof/>
          </w:rPr>
          <w:t>5</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D033C6"/>
    <w:lvl w:ilvl="0">
      <w:numFmt w:val="bullet"/>
      <w:lvlText w:val="*"/>
      <w:lvlJc w:val="left"/>
    </w:lvl>
  </w:abstractNum>
  <w:abstractNum w:abstractNumId="1">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855C8B"/>
    <w:multiLevelType w:val="multilevel"/>
    <w:tmpl w:val="2422B532"/>
    <w:lvl w:ilvl="0">
      <w:start w:val="2"/>
      <w:numFmt w:val="decimal"/>
      <w:pStyle w:val="1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6">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14D0DAE"/>
    <w:multiLevelType w:val="hybridMultilevel"/>
    <w:tmpl w:val="F85A5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9">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3F027C08"/>
    <w:multiLevelType w:val="singleLevel"/>
    <w:tmpl w:val="3A0A160A"/>
    <w:lvl w:ilvl="0">
      <w:start w:val="1"/>
      <w:numFmt w:val="decimal"/>
      <w:lvlText w:val="2.3.2.%1 "/>
      <w:legacy w:legacy="1" w:legacySpace="0" w:legacyIndent="283"/>
      <w:lvlJc w:val="left"/>
      <w:pPr>
        <w:ind w:left="283" w:hanging="283"/>
      </w:pPr>
      <w:rPr>
        <w:rFonts w:ascii="Times New Roman" w:hAnsi="Times New Roman" w:cs="Times New Roman" w:hint="default"/>
        <w:b w:val="0"/>
        <w:i w:val="0"/>
        <w:color w:val="000000"/>
        <w:sz w:val="22"/>
        <w:u w:val="none"/>
      </w:rPr>
    </w:lvl>
  </w:abstractNum>
  <w:abstractNum w:abstractNumId="11">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43D0C49"/>
    <w:multiLevelType w:val="hybridMultilevel"/>
    <w:tmpl w:val="D96EFAA4"/>
    <w:lvl w:ilvl="0" w:tplc="F5DA42B0">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8">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F9D11BE"/>
    <w:multiLevelType w:val="hybridMultilevel"/>
    <w:tmpl w:val="5DE8E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A3019DF"/>
    <w:multiLevelType w:val="hybridMultilevel"/>
    <w:tmpl w:val="48A692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E85E23"/>
    <w:multiLevelType w:val="multilevel"/>
    <w:tmpl w:val="95BE25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60C22C8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45504E"/>
    <w:multiLevelType w:val="singleLevel"/>
    <w:tmpl w:val="0F4E9A04"/>
    <w:lvl w:ilvl="0">
      <w:start w:val="1"/>
      <w:numFmt w:val="decimal"/>
      <w:lvlText w:val="%1. "/>
      <w:legacy w:legacy="1" w:legacySpace="0" w:legacyIndent="283"/>
      <w:lvlJc w:val="left"/>
      <w:pPr>
        <w:ind w:left="283" w:hanging="283"/>
      </w:pPr>
      <w:rPr>
        <w:rFonts w:ascii="Times New Roman" w:hAnsi="Times New Roman" w:cs="Times New Roman" w:hint="default"/>
        <w:b/>
        <w:i w:val="0"/>
        <w:color w:val="000000"/>
        <w:sz w:val="22"/>
        <w:u w:val="none"/>
      </w:rPr>
    </w:lvl>
  </w:abstractNum>
  <w:abstractNum w:abstractNumId="24">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B6022E3"/>
    <w:multiLevelType w:val="multilevel"/>
    <w:tmpl w:val="371A3D8C"/>
    <w:lvl w:ilvl="0">
      <w:start w:val="3"/>
      <w:numFmt w:val="decimal"/>
      <w:pStyle w:val="12"/>
      <w:lvlText w:val="%1"/>
      <w:lvlJc w:val="left"/>
      <w:pPr>
        <w:ind w:left="432" w:hanging="432"/>
      </w:pPr>
      <w:rPr>
        <w:rFonts w:hint="default"/>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2"/>
      <w:lvlText w:val="%1.%2.%3.%4"/>
      <w:lvlJc w:val="left"/>
      <w:pPr>
        <w:ind w:left="864" w:hanging="864"/>
      </w:pPr>
      <w:rPr>
        <w:rFonts w:hint="default"/>
      </w:rPr>
    </w:lvl>
    <w:lvl w:ilvl="4">
      <w:start w:val="1"/>
      <w:numFmt w:val="decimal"/>
      <w:pStyle w:val="52"/>
      <w:lvlText w:val="%1.%2.%3.%4.%5"/>
      <w:lvlJc w:val="left"/>
      <w:pPr>
        <w:ind w:left="1008" w:hanging="1008"/>
      </w:pPr>
      <w:rPr>
        <w:rFonts w:hint="default"/>
      </w:rPr>
    </w:lvl>
    <w:lvl w:ilvl="5">
      <w:start w:val="1"/>
      <w:numFmt w:val="decimal"/>
      <w:pStyle w:val="62"/>
      <w:lvlText w:val="%1.%2.%3.%4.%5.%6"/>
      <w:lvlJc w:val="left"/>
      <w:pPr>
        <w:ind w:left="1152" w:hanging="1152"/>
      </w:pPr>
      <w:rPr>
        <w:rFonts w:hint="default"/>
      </w:rPr>
    </w:lvl>
    <w:lvl w:ilvl="6">
      <w:start w:val="1"/>
      <w:numFmt w:val="decimal"/>
      <w:pStyle w:val="72"/>
      <w:lvlText w:val="%1.%2.%3.%4.%5.%6.%7"/>
      <w:lvlJc w:val="left"/>
      <w:pPr>
        <w:ind w:left="1296" w:hanging="1296"/>
      </w:pPr>
      <w:rPr>
        <w:rFonts w:hint="default"/>
      </w:rPr>
    </w:lvl>
    <w:lvl w:ilvl="7">
      <w:start w:val="1"/>
      <w:numFmt w:val="decimal"/>
      <w:pStyle w:val="82"/>
      <w:lvlText w:val="%1.%2.%3.%4.%5.%6.%7.%8"/>
      <w:lvlJc w:val="left"/>
      <w:pPr>
        <w:ind w:left="1440" w:hanging="1440"/>
      </w:pPr>
      <w:rPr>
        <w:rFonts w:hint="default"/>
      </w:rPr>
    </w:lvl>
    <w:lvl w:ilvl="8">
      <w:start w:val="1"/>
      <w:numFmt w:val="decimal"/>
      <w:pStyle w:val="92"/>
      <w:lvlText w:val="%1.%2.%3.%4.%5.%6.%7.%8.%9"/>
      <w:lvlJc w:val="left"/>
      <w:pPr>
        <w:ind w:left="1584" w:hanging="1584"/>
      </w:pPr>
      <w:rPr>
        <w:rFonts w:hint="default"/>
      </w:rPr>
    </w:lvl>
  </w:abstractNum>
  <w:abstractNum w:abstractNumId="27">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7D5B56D7"/>
    <w:multiLevelType w:val="hybridMultilevel"/>
    <w:tmpl w:val="C832B190"/>
    <w:lvl w:ilvl="0" w:tplc="97A899C6">
      <w:start w:val="4"/>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num w:numId="1">
    <w:abstractNumId w:val="12"/>
  </w:num>
  <w:num w:numId="2">
    <w:abstractNumId w:val="1"/>
  </w:num>
  <w:num w:numId="3">
    <w:abstractNumId w:val="9"/>
  </w:num>
  <w:num w:numId="4">
    <w:abstractNumId w:val="3"/>
  </w:num>
  <w:num w:numId="5">
    <w:abstractNumId w:val="27"/>
  </w:num>
  <w:num w:numId="6">
    <w:abstractNumId w:val="24"/>
  </w:num>
  <w:num w:numId="7">
    <w:abstractNumId w:val="28"/>
  </w:num>
  <w:num w:numId="8">
    <w:abstractNumId w:val="6"/>
  </w:num>
  <w:num w:numId="9">
    <w:abstractNumId w:val="18"/>
  </w:num>
  <w:num w:numId="10">
    <w:abstractNumId w:val="4"/>
  </w:num>
  <w:num w:numId="11">
    <w:abstractNumId w:val="25"/>
  </w:num>
  <w:num w:numId="12">
    <w:abstractNumId w:val="11"/>
  </w:num>
  <w:num w:numId="13">
    <w:abstractNumId w:val="14"/>
  </w:num>
  <w:num w:numId="14">
    <w:abstractNumId w:val="2"/>
  </w:num>
  <w:num w:numId="15">
    <w:abstractNumId w:val="13"/>
  </w:num>
  <w:num w:numId="16">
    <w:abstractNumId w:val="16"/>
  </w:num>
  <w:num w:numId="17">
    <w:abstractNumId w:val="15"/>
  </w:num>
  <w:num w:numId="18">
    <w:abstractNumId w:val="17"/>
  </w:num>
  <w:num w:numId="19">
    <w:abstractNumId w:val="8"/>
  </w:num>
  <w:num w:numId="20">
    <w:abstractNumId w:val="19"/>
  </w:num>
  <w:num w:numId="21">
    <w:abstractNumId w:val="29"/>
  </w:num>
  <w:num w:numId="22">
    <w:abstractNumId w:val="7"/>
  </w:num>
  <w:num w:numId="23">
    <w:abstractNumId w:val="20"/>
  </w:num>
  <w:num w:numId="24">
    <w:abstractNumId w:val="23"/>
  </w:num>
  <w:num w:numId="25">
    <w:abstractNumId w:val="21"/>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0"/>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2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1C4988"/>
    <w:rsid w:val="0022253E"/>
    <w:rsid w:val="002F1F6D"/>
    <w:rsid w:val="00311D12"/>
    <w:rsid w:val="00390E18"/>
    <w:rsid w:val="003B1114"/>
    <w:rsid w:val="003B515C"/>
    <w:rsid w:val="003D2038"/>
    <w:rsid w:val="003D4A85"/>
    <w:rsid w:val="003E416C"/>
    <w:rsid w:val="00430118"/>
    <w:rsid w:val="004B545E"/>
    <w:rsid w:val="00540ADE"/>
    <w:rsid w:val="0055055A"/>
    <w:rsid w:val="00550D3B"/>
    <w:rsid w:val="005807B0"/>
    <w:rsid w:val="005D0790"/>
    <w:rsid w:val="005D4B13"/>
    <w:rsid w:val="00630680"/>
    <w:rsid w:val="00640294"/>
    <w:rsid w:val="006670F4"/>
    <w:rsid w:val="00697534"/>
    <w:rsid w:val="006E4380"/>
    <w:rsid w:val="007408A0"/>
    <w:rsid w:val="008772F5"/>
    <w:rsid w:val="009C49B6"/>
    <w:rsid w:val="009D4A4C"/>
    <w:rsid w:val="00A05069"/>
    <w:rsid w:val="00A22EEE"/>
    <w:rsid w:val="00AB0164"/>
    <w:rsid w:val="00AE7D22"/>
    <w:rsid w:val="00B450A2"/>
    <w:rsid w:val="00B853A2"/>
    <w:rsid w:val="00B945C7"/>
    <w:rsid w:val="00BE29D0"/>
    <w:rsid w:val="00C354F1"/>
    <w:rsid w:val="00C558FF"/>
    <w:rsid w:val="00C82CDA"/>
    <w:rsid w:val="00C85524"/>
    <w:rsid w:val="00CD0A76"/>
    <w:rsid w:val="00E37F8E"/>
    <w:rsid w:val="00EC6AC0"/>
    <w:rsid w:val="00F42BF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26"/>
      </w:numPr>
    </w:pPr>
  </w:style>
  <w:style w:type="paragraph" w:customStyle="1" w:styleId="21">
    <w:name w:val="Επικεφαλίδα 21"/>
    <w:basedOn w:val="2"/>
    <w:rsid w:val="0055055A"/>
    <w:pPr>
      <w:numPr>
        <w:ilvl w:val="1"/>
        <w:numId w:val="26"/>
      </w:numPr>
    </w:pPr>
  </w:style>
  <w:style w:type="paragraph" w:customStyle="1" w:styleId="31">
    <w:name w:val="Επικεφαλίδα 31"/>
    <w:basedOn w:val="3"/>
    <w:rsid w:val="0055055A"/>
    <w:pPr>
      <w:numPr>
        <w:ilvl w:val="2"/>
        <w:numId w:val="26"/>
      </w:numPr>
    </w:pPr>
  </w:style>
  <w:style w:type="paragraph" w:customStyle="1" w:styleId="41">
    <w:name w:val="Επικεφαλίδα 41"/>
    <w:basedOn w:val="4"/>
    <w:rsid w:val="0055055A"/>
    <w:pPr>
      <w:numPr>
        <w:ilvl w:val="3"/>
        <w:numId w:val="26"/>
      </w:numPr>
    </w:pPr>
  </w:style>
  <w:style w:type="paragraph" w:customStyle="1" w:styleId="51">
    <w:name w:val="Επικεφαλίδα 51"/>
    <w:basedOn w:val="a"/>
    <w:rsid w:val="0055055A"/>
    <w:pPr>
      <w:numPr>
        <w:ilvl w:val="4"/>
        <w:numId w:val="26"/>
      </w:numPr>
    </w:pPr>
  </w:style>
  <w:style w:type="paragraph" w:customStyle="1" w:styleId="61">
    <w:name w:val="Επικεφαλίδα 61"/>
    <w:basedOn w:val="a"/>
    <w:rsid w:val="0055055A"/>
    <w:pPr>
      <w:numPr>
        <w:ilvl w:val="5"/>
        <w:numId w:val="26"/>
      </w:numPr>
    </w:pPr>
  </w:style>
  <w:style w:type="paragraph" w:customStyle="1" w:styleId="71">
    <w:name w:val="Επικεφαλίδα 71"/>
    <w:basedOn w:val="a"/>
    <w:rsid w:val="0055055A"/>
    <w:pPr>
      <w:numPr>
        <w:ilvl w:val="6"/>
        <w:numId w:val="26"/>
      </w:numPr>
    </w:pPr>
  </w:style>
  <w:style w:type="paragraph" w:customStyle="1" w:styleId="81">
    <w:name w:val="Επικεφαλίδα 81"/>
    <w:basedOn w:val="a"/>
    <w:rsid w:val="0055055A"/>
    <w:pPr>
      <w:numPr>
        <w:ilvl w:val="7"/>
        <w:numId w:val="26"/>
      </w:numPr>
    </w:pPr>
  </w:style>
  <w:style w:type="paragraph" w:customStyle="1" w:styleId="91">
    <w:name w:val="Επικεφαλίδα 91"/>
    <w:basedOn w:val="a"/>
    <w:rsid w:val="0055055A"/>
    <w:pPr>
      <w:numPr>
        <w:ilvl w:val="8"/>
        <w:numId w:val="26"/>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6"/>
      </w:numPr>
    </w:pPr>
  </w:style>
  <w:style w:type="paragraph" w:customStyle="1" w:styleId="22">
    <w:name w:val="Επικεφαλίδα 22"/>
    <w:basedOn w:val="a"/>
    <w:rsid w:val="003B515C"/>
    <w:pPr>
      <w:numPr>
        <w:ilvl w:val="1"/>
        <w:numId w:val="46"/>
      </w:numPr>
    </w:pPr>
  </w:style>
  <w:style w:type="paragraph" w:customStyle="1" w:styleId="32">
    <w:name w:val="Επικεφαλίδα 32"/>
    <w:basedOn w:val="a"/>
    <w:rsid w:val="003B515C"/>
    <w:pPr>
      <w:numPr>
        <w:ilvl w:val="2"/>
        <w:numId w:val="46"/>
      </w:numPr>
    </w:pPr>
  </w:style>
  <w:style w:type="paragraph" w:customStyle="1" w:styleId="42">
    <w:name w:val="Επικεφαλίδα 42"/>
    <w:basedOn w:val="a"/>
    <w:rsid w:val="003B515C"/>
    <w:pPr>
      <w:numPr>
        <w:ilvl w:val="3"/>
        <w:numId w:val="46"/>
      </w:numPr>
    </w:pPr>
  </w:style>
  <w:style w:type="paragraph" w:customStyle="1" w:styleId="52">
    <w:name w:val="Επικεφαλίδα 52"/>
    <w:basedOn w:val="a"/>
    <w:rsid w:val="003B515C"/>
    <w:pPr>
      <w:numPr>
        <w:ilvl w:val="4"/>
        <w:numId w:val="46"/>
      </w:numPr>
    </w:pPr>
  </w:style>
  <w:style w:type="paragraph" w:customStyle="1" w:styleId="62">
    <w:name w:val="Επικεφαλίδα 62"/>
    <w:basedOn w:val="a"/>
    <w:rsid w:val="003B515C"/>
    <w:pPr>
      <w:numPr>
        <w:ilvl w:val="5"/>
        <w:numId w:val="46"/>
      </w:numPr>
    </w:pPr>
  </w:style>
  <w:style w:type="paragraph" w:customStyle="1" w:styleId="72">
    <w:name w:val="Επικεφαλίδα 72"/>
    <w:basedOn w:val="a"/>
    <w:rsid w:val="003B515C"/>
    <w:pPr>
      <w:numPr>
        <w:ilvl w:val="6"/>
        <w:numId w:val="46"/>
      </w:numPr>
    </w:pPr>
  </w:style>
  <w:style w:type="paragraph" w:customStyle="1" w:styleId="82">
    <w:name w:val="Επικεφαλίδα 82"/>
    <w:basedOn w:val="a"/>
    <w:rsid w:val="003B515C"/>
    <w:pPr>
      <w:numPr>
        <w:ilvl w:val="7"/>
        <w:numId w:val="46"/>
      </w:numPr>
    </w:pPr>
  </w:style>
  <w:style w:type="paragraph" w:customStyle="1" w:styleId="92">
    <w:name w:val="Επικεφαλίδα 92"/>
    <w:basedOn w:val="a"/>
    <w:rsid w:val="003B515C"/>
    <w:pPr>
      <w:numPr>
        <w:ilvl w:val="8"/>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semiHidden/>
    <w:unhideWhenUsed/>
    <w:qFormat/>
    <w:rsid w:val="00C85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26"/>
      </w:numPr>
    </w:pPr>
  </w:style>
  <w:style w:type="paragraph" w:customStyle="1" w:styleId="21">
    <w:name w:val="Επικεφαλίδα 21"/>
    <w:basedOn w:val="2"/>
    <w:rsid w:val="0055055A"/>
    <w:pPr>
      <w:numPr>
        <w:ilvl w:val="1"/>
        <w:numId w:val="26"/>
      </w:numPr>
    </w:pPr>
  </w:style>
  <w:style w:type="paragraph" w:customStyle="1" w:styleId="31">
    <w:name w:val="Επικεφαλίδα 31"/>
    <w:basedOn w:val="3"/>
    <w:rsid w:val="0055055A"/>
    <w:pPr>
      <w:numPr>
        <w:ilvl w:val="2"/>
        <w:numId w:val="26"/>
      </w:numPr>
    </w:pPr>
  </w:style>
  <w:style w:type="paragraph" w:customStyle="1" w:styleId="41">
    <w:name w:val="Επικεφαλίδα 41"/>
    <w:basedOn w:val="4"/>
    <w:rsid w:val="0055055A"/>
    <w:pPr>
      <w:numPr>
        <w:ilvl w:val="3"/>
        <w:numId w:val="26"/>
      </w:numPr>
    </w:pPr>
  </w:style>
  <w:style w:type="paragraph" w:customStyle="1" w:styleId="51">
    <w:name w:val="Επικεφαλίδα 51"/>
    <w:basedOn w:val="a"/>
    <w:rsid w:val="0055055A"/>
    <w:pPr>
      <w:numPr>
        <w:ilvl w:val="4"/>
        <w:numId w:val="26"/>
      </w:numPr>
    </w:pPr>
  </w:style>
  <w:style w:type="paragraph" w:customStyle="1" w:styleId="61">
    <w:name w:val="Επικεφαλίδα 61"/>
    <w:basedOn w:val="a"/>
    <w:rsid w:val="0055055A"/>
    <w:pPr>
      <w:numPr>
        <w:ilvl w:val="5"/>
        <w:numId w:val="26"/>
      </w:numPr>
    </w:pPr>
  </w:style>
  <w:style w:type="paragraph" w:customStyle="1" w:styleId="71">
    <w:name w:val="Επικεφαλίδα 71"/>
    <w:basedOn w:val="a"/>
    <w:rsid w:val="0055055A"/>
    <w:pPr>
      <w:numPr>
        <w:ilvl w:val="6"/>
        <w:numId w:val="26"/>
      </w:numPr>
    </w:pPr>
  </w:style>
  <w:style w:type="paragraph" w:customStyle="1" w:styleId="81">
    <w:name w:val="Επικεφαλίδα 81"/>
    <w:basedOn w:val="a"/>
    <w:rsid w:val="0055055A"/>
    <w:pPr>
      <w:numPr>
        <w:ilvl w:val="7"/>
        <w:numId w:val="26"/>
      </w:numPr>
    </w:pPr>
  </w:style>
  <w:style w:type="paragraph" w:customStyle="1" w:styleId="91">
    <w:name w:val="Επικεφαλίδα 91"/>
    <w:basedOn w:val="a"/>
    <w:rsid w:val="0055055A"/>
    <w:pPr>
      <w:numPr>
        <w:ilvl w:val="8"/>
        <w:numId w:val="26"/>
      </w:numPr>
    </w:pPr>
  </w:style>
  <w:style w:type="paragraph" w:styleId="30">
    <w:name w:val="toc 3"/>
    <w:basedOn w:val="a"/>
    <w:next w:val="a"/>
    <w:autoRedefine/>
    <w:uiPriority w:val="39"/>
    <w:unhideWhenUsed/>
    <w:rsid w:val="005D4B13"/>
    <w:pPr>
      <w:spacing w:after="100"/>
      <w:ind w:left="440"/>
    </w:pPr>
  </w:style>
  <w:style w:type="character" w:customStyle="1" w:styleId="4Char">
    <w:name w:val="Επικεφαλίδα 4 Char"/>
    <w:basedOn w:val="a0"/>
    <w:link w:val="4"/>
    <w:uiPriority w:val="9"/>
    <w:semiHidden/>
    <w:rsid w:val="00C85524"/>
    <w:rPr>
      <w:rFonts w:asciiTheme="majorHAnsi" w:eastAsiaTheme="majorEastAsia" w:hAnsiTheme="majorHAnsi" w:cstheme="majorBidi"/>
      <w:b/>
      <w:bCs/>
      <w:i/>
      <w:iCs/>
      <w:color w:val="4F81BD" w:themeColor="accent1"/>
      <w:sz w:val="22"/>
      <w:szCs w:val="22"/>
      <w:lang w:eastAsia="en-US"/>
    </w:rPr>
  </w:style>
  <w:style w:type="paragraph" w:customStyle="1" w:styleId="12">
    <w:name w:val="Επικεφαλίδα 12"/>
    <w:basedOn w:val="1"/>
    <w:rsid w:val="003B515C"/>
    <w:pPr>
      <w:numPr>
        <w:numId w:val="46"/>
      </w:numPr>
    </w:pPr>
  </w:style>
  <w:style w:type="paragraph" w:customStyle="1" w:styleId="22">
    <w:name w:val="Επικεφαλίδα 22"/>
    <w:basedOn w:val="a"/>
    <w:rsid w:val="003B515C"/>
    <w:pPr>
      <w:numPr>
        <w:ilvl w:val="1"/>
        <w:numId w:val="46"/>
      </w:numPr>
    </w:pPr>
  </w:style>
  <w:style w:type="paragraph" w:customStyle="1" w:styleId="32">
    <w:name w:val="Επικεφαλίδα 32"/>
    <w:basedOn w:val="a"/>
    <w:rsid w:val="003B515C"/>
    <w:pPr>
      <w:numPr>
        <w:ilvl w:val="2"/>
        <w:numId w:val="46"/>
      </w:numPr>
    </w:pPr>
  </w:style>
  <w:style w:type="paragraph" w:customStyle="1" w:styleId="42">
    <w:name w:val="Επικεφαλίδα 42"/>
    <w:basedOn w:val="a"/>
    <w:rsid w:val="003B515C"/>
    <w:pPr>
      <w:numPr>
        <w:ilvl w:val="3"/>
        <w:numId w:val="46"/>
      </w:numPr>
    </w:pPr>
  </w:style>
  <w:style w:type="paragraph" w:customStyle="1" w:styleId="52">
    <w:name w:val="Επικεφαλίδα 52"/>
    <w:basedOn w:val="a"/>
    <w:rsid w:val="003B515C"/>
    <w:pPr>
      <w:numPr>
        <w:ilvl w:val="4"/>
        <w:numId w:val="46"/>
      </w:numPr>
    </w:pPr>
  </w:style>
  <w:style w:type="paragraph" w:customStyle="1" w:styleId="62">
    <w:name w:val="Επικεφαλίδα 62"/>
    <w:basedOn w:val="a"/>
    <w:rsid w:val="003B515C"/>
    <w:pPr>
      <w:numPr>
        <w:ilvl w:val="5"/>
        <w:numId w:val="46"/>
      </w:numPr>
    </w:pPr>
  </w:style>
  <w:style w:type="paragraph" w:customStyle="1" w:styleId="72">
    <w:name w:val="Επικεφαλίδα 72"/>
    <w:basedOn w:val="a"/>
    <w:rsid w:val="003B515C"/>
    <w:pPr>
      <w:numPr>
        <w:ilvl w:val="6"/>
        <w:numId w:val="46"/>
      </w:numPr>
    </w:pPr>
  </w:style>
  <w:style w:type="paragraph" w:customStyle="1" w:styleId="82">
    <w:name w:val="Επικεφαλίδα 82"/>
    <w:basedOn w:val="a"/>
    <w:rsid w:val="003B515C"/>
    <w:pPr>
      <w:numPr>
        <w:ilvl w:val="7"/>
        <w:numId w:val="46"/>
      </w:numPr>
    </w:pPr>
  </w:style>
  <w:style w:type="paragraph" w:customStyle="1" w:styleId="92">
    <w:name w:val="Επικεφαλίδα 92"/>
    <w:basedOn w:val="a"/>
    <w:rsid w:val="003B515C"/>
    <w:pPr>
      <w:numPr>
        <w:ilvl w:val="8"/>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7ED8-E993-46E4-98C8-92D593B3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1348</Words>
  <Characters>7283</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5</cp:revision>
  <cp:lastPrinted>2014-11-05T10:59:00Z</cp:lastPrinted>
  <dcterms:created xsi:type="dcterms:W3CDTF">2015-06-03T09:46:00Z</dcterms:created>
  <dcterms:modified xsi:type="dcterms:W3CDTF">2015-07-15T10:01:00Z</dcterms:modified>
</cp:coreProperties>
</file>