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FF643C" w:rsidRDefault="00377D3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>Αντοχή Πλοίου Ι</w:t>
      </w:r>
      <w:r w:rsidR="00DA3DFA">
        <w:rPr>
          <w:rFonts w:asciiTheme="minorHAnsi" w:hAnsiTheme="minorHAnsi" w:cs="Arial"/>
          <w:lang w:val="el-GR"/>
        </w:rPr>
        <w:t xml:space="preserve"> </w:t>
      </w:r>
      <w:r w:rsidR="00FF643C">
        <w:rPr>
          <w:rFonts w:asciiTheme="minorHAnsi" w:hAnsiTheme="minorHAnsi" w:cs="Arial"/>
        </w:rPr>
        <w:t>(</w:t>
      </w:r>
      <w:r w:rsidR="00DA3DFA">
        <w:rPr>
          <w:rFonts w:asciiTheme="minorHAnsi" w:hAnsiTheme="minorHAnsi" w:cs="Arial"/>
          <w:lang w:val="el-GR"/>
        </w:rPr>
        <w:t>Ε</w:t>
      </w:r>
      <w:r w:rsidR="00FF643C">
        <w:rPr>
          <w:rFonts w:asciiTheme="minorHAnsi" w:hAnsiTheme="minorHAnsi" w:cs="Arial"/>
        </w:rPr>
        <w:t>)</w:t>
      </w:r>
    </w:p>
    <w:p w:rsidR="00B3399D" w:rsidRPr="00622D8C" w:rsidRDefault="00377D3A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Ενότητα </w:t>
      </w:r>
      <w:r w:rsidR="00FA5488" w:rsidRPr="00FA5488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FA5488" w:rsidRPr="00FA5488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93CED">
        <w:rPr>
          <w:rFonts w:asciiTheme="minorHAnsi" w:hAnsiTheme="minorHAnsi" w:cs="Arial"/>
          <w:b/>
          <w:bCs/>
          <w:sz w:val="24"/>
          <w:szCs w:val="24"/>
          <w:lang w:val="el-GR"/>
        </w:rPr>
        <w:t>Σειρά ασκήσεων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Αλέξανδρος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Θεοδουλίδης</w:t>
      </w:r>
      <w:proofErr w:type="spellEnd"/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Επικ.Καθηγητής</w:t>
      </w:r>
      <w:proofErr w:type="spellEnd"/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FA5488" w:rsidRDefault="00797D0C" w:rsidP="00B3399D">
      <w:pPr>
        <w:rPr>
          <w:rFonts w:asciiTheme="minorHAnsi" w:hAnsiTheme="minorHAnsi" w:cs="Arial"/>
          <w:lang w:val="el-GR"/>
        </w:rPr>
      </w:pPr>
    </w:p>
    <w:p w:rsidR="00147B9C" w:rsidRPr="00FA5488" w:rsidRDefault="00147B9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FF643C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DE5BC3" w:rsidRPr="00DE5BC3" w:rsidRDefault="00DE5BC3" w:rsidP="00DE5BC3">
      <w:pPr>
        <w:rPr>
          <w:rFonts w:asciiTheme="minorHAnsi" w:hAnsiTheme="minorHAnsi"/>
          <w:b/>
          <w:sz w:val="24"/>
          <w:szCs w:val="24"/>
          <w:lang w:val="el-GR"/>
        </w:rPr>
      </w:pPr>
      <w:r w:rsidRPr="00DE5BC3">
        <w:rPr>
          <w:rFonts w:asciiTheme="minorHAnsi" w:hAnsiTheme="minorHAnsi"/>
          <w:b/>
          <w:sz w:val="24"/>
          <w:szCs w:val="24"/>
          <w:lang w:val="el-GR"/>
        </w:rPr>
        <w:lastRenderedPageBreak/>
        <w:t>Θέμα 1</w:t>
      </w:r>
      <w:r w:rsidRPr="00DE5BC3">
        <w:rPr>
          <w:rFonts w:asciiTheme="minorHAnsi" w:hAnsiTheme="minorHAnsi"/>
          <w:b/>
          <w:sz w:val="24"/>
          <w:szCs w:val="24"/>
          <w:vertAlign w:val="superscript"/>
          <w:lang w:val="el-GR"/>
        </w:rPr>
        <w:t>ο</w:t>
      </w:r>
      <w:r w:rsidRPr="00DE5BC3">
        <w:rPr>
          <w:rFonts w:asciiTheme="minorHAnsi" w:hAnsiTheme="minorHAnsi"/>
          <w:b/>
          <w:sz w:val="24"/>
          <w:szCs w:val="24"/>
          <w:lang w:val="el-GR"/>
        </w:rPr>
        <w:t xml:space="preserve"> (Βαρύτητα 50%)</w:t>
      </w:r>
    </w:p>
    <w:p w:rsidR="00DE5BC3" w:rsidRPr="00DE5BC3" w:rsidRDefault="00DE5BC3" w:rsidP="00DE5BC3">
      <w:pPr>
        <w:rPr>
          <w:rFonts w:asciiTheme="minorHAnsi" w:hAnsiTheme="minorHAnsi"/>
          <w:b/>
          <w:sz w:val="24"/>
          <w:szCs w:val="24"/>
          <w:lang w:val="el-GR"/>
        </w:rPr>
      </w:pPr>
    </w:p>
    <w:p w:rsidR="00DE5BC3" w:rsidRPr="00DE5BC3" w:rsidRDefault="00DE5BC3" w:rsidP="00DE5BC3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DE5BC3">
        <w:rPr>
          <w:rFonts w:asciiTheme="minorHAnsi" w:hAnsiTheme="minorHAnsi"/>
          <w:sz w:val="24"/>
          <w:szCs w:val="24"/>
          <w:lang w:val="el-GR"/>
        </w:rPr>
        <w:t xml:space="preserve">Να σχεδιασθούν τα διαγράμματα </w:t>
      </w:r>
      <w:proofErr w:type="spellStart"/>
      <w:r w:rsidRPr="00DE5BC3">
        <w:rPr>
          <w:rFonts w:asciiTheme="minorHAnsi" w:hAnsiTheme="minorHAnsi"/>
          <w:sz w:val="24"/>
          <w:szCs w:val="24"/>
          <w:lang w:val="el-GR"/>
        </w:rPr>
        <w:t>καμπτικών</w:t>
      </w:r>
      <w:proofErr w:type="spellEnd"/>
      <w:r w:rsidRPr="00DE5BC3">
        <w:rPr>
          <w:rFonts w:asciiTheme="minorHAnsi" w:hAnsiTheme="minorHAnsi"/>
          <w:sz w:val="24"/>
          <w:szCs w:val="24"/>
          <w:lang w:val="el-GR"/>
        </w:rPr>
        <w:t xml:space="preserve"> ροπών και τεμνουσών δυνάμεων για τις ακόλουθες περιπτώσεις:</w:t>
      </w:r>
    </w:p>
    <w:p w:rsidR="00DE5BC3" w:rsidRPr="00DE5BC3" w:rsidRDefault="00DE5BC3" w:rsidP="00DE5BC3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DE5BC3" w:rsidRPr="00DE5BC3" w:rsidRDefault="00DE5BC3" w:rsidP="00DE5BC3">
      <w:p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DE5BC3">
        <w:rPr>
          <w:rFonts w:asciiTheme="minorHAnsi" w:hAnsiTheme="minorHAnsi"/>
          <w:b/>
          <w:sz w:val="24"/>
          <w:szCs w:val="24"/>
        </w:rPr>
        <w:t>Περί</w:t>
      </w:r>
      <w:proofErr w:type="spellEnd"/>
      <w:r w:rsidRPr="00DE5BC3">
        <w:rPr>
          <w:rFonts w:asciiTheme="minorHAnsi" w:hAnsiTheme="minorHAnsi"/>
          <w:b/>
          <w:sz w:val="24"/>
          <w:szCs w:val="24"/>
        </w:rPr>
        <w:t>πτωση (Α):</w:t>
      </w:r>
    </w:p>
    <w:p w:rsidR="00DE5BC3" w:rsidRPr="00DE5BC3" w:rsidRDefault="00DE5BC3" w:rsidP="00DE5BC3">
      <w:pPr>
        <w:jc w:val="center"/>
        <w:rPr>
          <w:rFonts w:asciiTheme="minorHAnsi" w:hAnsiTheme="minorHAnsi"/>
          <w:sz w:val="24"/>
          <w:szCs w:val="24"/>
        </w:rPr>
      </w:pPr>
      <w:r w:rsidRPr="00DE5BC3">
        <w:rPr>
          <w:rFonts w:asciiTheme="minorHAnsi" w:hAnsiTheme="minorHAnsi"/>
          <w:noProof/>
          <w:sz w:val="24"/>
          <w:szCs w:val="24"/>
          <w:lang w:val="el-GR" w:eastAsia="el-GR" w:bidi="ar-SA"/>
        </w:rPr>
        <w:drawing>
          <wp:inline distT="0" distB="0" distL="0" distR="0" wp14:anchorId="3133E757" wp14:editId="2F3EC3CE">
            <wp:extent cx="4710824" cy="2355011"/>
            <wp:effectExtent l="0" t="0" r="0" b="762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885" cy="23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C3" w:rsidRPr="00DE5BC3" w:rsidRDefault="00DE5BC3" w:rsidP="00DE5BC3">
      <w:pPr>
        <w:jc w:val="center"/>
        <w:rPr>
          <w:rFonts w:asciiTheme="minorHAnsi" w:hAnsiTheme="minorHAnsi"/>
          <w:sz w:val="24"/>
          <w:szCs w:val="24"/>
          <w:lang w:val="el-GR"/>
        </w:rPr>
      </w:pPr>
      <w:r w:rsidRPr="00DE5BC3">
        <w:rPr>
          <w:rFonts w:asciiTheme="minorHAnsi" w:hAnsiTheme="minorHAnsi"/>
          <w:sz w:val="24"/>
          <w:szCs w:val="24"/>
          <w:lang w:val="el-GR"/>
        </w:rPr>
        <w:t>(Διαστάσεις σε χιλιοστά)</w:t>
      </w:r>
    </w:p>
    <w:p w:rsidR="00DE5BC3" w:rsidRPr="00DE5BC3" w:rsidRDefault="00DE5BC3" w:rsidP="00DE5BC3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:rsidR="00DE5BC3" w:rsidRPr="00DE5BC3" w:rsidRDefault="00DE5BC3" w:rsidP="00DE5BC3">
      <w:pPr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DE5BC3">
        <w:rPr>
          <w:rFonts w:asciiTheme="minorHAnsi" w:hAnsiTheme="minorHAnsi"/>
          <w:b/>
          <w:sz w:val="24"/>
          <w:szCs w:val="24"/>
          <w:lang w:val="el-GR"/>
        </w:rPr>
        <w:t>Περίπτωση (Β):</w:t>
      </w:r>
    </w:p>
    <w:p w:rsidR="00DE5BC3" w:rsidRPr="00DE5BC3" w:rsidRDefault="00DE5BC3" w:rsidP="00DE5BC3">
      <w:pPr>
        <w:rPr>
          <w:rFonts w:asciiTheme="minorHAnsi" w:hAnsiTheme="minorHAnsi"/>
          <w:sz w:val="24"/>
          <w:szCs w:val="24"/>
          <w:lang w:val="el-GR"/>
        </w:rPr>
      </w:pPr>
    </w:p>
    <w:p w:rsidR="00DE5BC3" w:rsidRPr="00DE5BC3" w:rsidRDefault="00DE5BC3" w:rsidP="00DE5BC3">
      <w:pPr>
        <w:jc w:val="center"/>
        <w:rPr>
          <w:rFonts w:asciiTheme="minorHAnsi" w:hAnsiTheme="minorHAnsi"/>
          <w:sz w:val="24"/>
          <w:szCs w:val="24"/>
        </w:rPr>
      </w:pPr>
      <w:r w:rsidRPr="00DE5BC3">
        <w:rPr>
          <w:rFonts w:asciiTheme="minorHAnsi" w:hAnsiTheme="minorHAnsi"/>
          <w:noProof/>
          <w:sz w:val="24"/>
          <w:szCs w:val="24"/>
          <w:lang w:val="el-GR" w:eastAsia="el-GR" w:bidi="ar-SA"/>
        </w:rPr>
        <w:drawing>
          <wp:inline distT="0" distB="0" distL="0" distR="0" wp14:anchorId="728A4E58" wp14:editId="3EEC85CC">
            <wp:extent cx="5293008" cy="2501661"/>
            <wp:effectExtent l="0" t="0" r="317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82" cy="250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C3" w:rsidRPr="00DE5BC3" w:rsidRDefault="00DE5BC3" w:rsidP="00DE5BC3">
      <w:pPr>
        <w:jc w:val="center"/>
        <w:rPr>
          <w:rFonts w:asciiTheme="minorHAnsi" w:hAnsiTheme="minorHAnsi"/>
          <w:sz w:val="24"/>
          <w:szCs w:val="24"/>
        </w:rPr>
      </w:pPr>
    </w:p>
    <w:p w:rsidR="00DE5BC3" w:rsidRPr="00DE5BC3" w:rsidRDefault="00DE5BC3" w:rsidP="00DE5BC3">
      <w:p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DE5BC3">
        <w:rPr>
          <w:rFonts w:asciiTheme="minorHAnsi" w:hAnsiTheme="minorHAnsi"/>
          <w:b/>
          <w:sz w:val="24"/>
          <w:szCs w:val="24"/>
        </w:rPr>
        <w:lastRenderedPageBreak/>
        <w:t>Περί</w:t>
      </w:r>
      <w:proofErr w:type="spellEnd"/>
      <w:r w:rsidRPr="00DE5BC3">
        <w:rPr>
          <w:rFonts w:asciiTheme="minorHAnsi" w:hAnsiTheme="minorHAnsi"/>
          <w:b/>
          <w:sz w:val="24"/>
          <w:szCs w:val="24"/>
        </w:rPr>
        <w:t>πτωση (Γ):</w:t>
      </w:r>
    </w:p>
    <w:p w:rsidR="00DE5BC3" w:rsidRPr="00DE5BC3" w:rsidRDefault="00DE5BC3" w:rsidP="00DE5BC3">
      <w:pPr>
        <w:rPr>
          <w:rFonts w:asciiTheme="minorHAnsi" w:hAnsiTheme="minorHAnsi"/>
          <w:sz w:val="24"/>
          <w:szCs w:val="24"/>
        </w:rPr>
      </w:pPr>
    </w:p>
    <w:p w:rsidR="00DE5BC3" w:rsidRDefault="00DE5BC3" w:rsidP="00DE5BC3">
      <w:pPr>
        <w:jc w:val="center"/>
      </w:pPr>
      <w:r w:rsidRPr="00DE5BC3">
        <w:rPr>
          <w:rFonts w:asciiTheme="minorHAnsi" w:hAnsiTheme="minorHAnsi"/>
          <w:noProof/>
          <w:sz w:val="24"/>
          <w:szCs w:val="24"/>
          <w:lang w:val="el-GR" w:eastAsia="el-GR" w:bidi="ar-SA"/>
        </w:rPr>
        <w:drawing>
          <wp:inline distT="0" distB="0" distL="0" distR="0" wp14:anchorId="12D5B875" wp14:editId="2C120FB6">
            <wp:extent cx="4034554" cy="2631056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356" cy="26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C3" w:rsidRDefault="00DE5BC3">
      <w:r>
        <w:br w:type="page"/>
      </w:r>
    </w:p>
    <w:p w:rsidR="00635481" w:rsidRDefault="00635481"/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FF643C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EFF33EC" wp14:editId="1F77DA4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FF643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FF643C">
        <w:rPr>
          <w:rFonts w:asciiTheme="minorHAnsi" w:hAnsiTheme="minorHAnsi"/>
          <w:lang w:val="el-GR"/>
        </w:rPr>
        <w:t xml:space="preserve">Αλέξανδρος </w:t>
      </w:r>
      <w:proofErr w:type="spellStart"/>
      <w:r w:rsidR="00DA3DFA" w:rsidRPr="00FF643C">
        <w:rPr>
          <w:rFonts w:asciiTheme="minorHAnsi" w:hAnsiTheme="minorHAnsi"/>
          <w:lang w:val="el-GR"/>
        </w:rPr>
        <w:t>Θεοδουλίδης</w:t>
      </w:r>
      <w:proofErr w:type="spellEnd"/>
      <w:r w:rsidRPr="00FF643C">
        <w:rPr>
          <w:rFonts w:asciiTheme="minorHAnsi" w:hAnsiTheme="minorHAnsi"/>
          <w:lang w:val="el-GR"/>
        </w:rPr>
        <w:t>, 2014.</w:t>
      </w:r>
      <w:proofErr w:type="gramEnd"/>
      <w:r w:rsidRPr="00FF643C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FF643C">
        <w:rPr>
          <w:rFonts w:asciiTheme="minorHAnsi" w:hAnsiTheme="minorHAnsi"/>
          <w:lang w:val="el-GR"/>
        </w:rPr>
        <w:t>Αλέξανδος</w:t>
      </w:r>
      <w:proofErr w:type="spellEnd"/>
      <w:r w:rsidR="00DA3DFA" w:rsidRPr="00FF643C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FF643C">
        <w:rPr>
          <w:rFonts w:asciiTheme="minorHAnsi" w:hAnsiTheme="minorHAnsi"/>
          <w:lang w:val="el-GR"/>
        </w:rPr>
        <w:t>Θεοδουλίδης</w:t>
      </w:r>
      <w:proofErr w:type="spellEnd"/>
      <w:r w:rsidRPr="00FF643C">
        <w:rPr>
          <w:rFonts w:asciiTheme="minorHAnsi" w:hAnsiTheme="minorHAnsi"/>
          <w:lang w:val="el-GR"/>
        </w:rPr>
        <w:t>. «</w:t>
      </w:r>
      <w:r w:rsidR="00147B9C" w:rsidRPr="00FF643C">
        <w:rPr>
          <w:rFonts w:asciiTheme="minorHAnsi" w:hAnsiTheme="minorHAnsi"/>
          <w:lang w:val="el-GR"/>
        </w:rPr>
        <w:t>Αντοχή Πλοίου Ι</w:t>
      </w:r>
      <w:r w:rsidR="00DA3DFA" w:rsidRPr="00FF643C">
        <w:rPr>
          <w:rFonts w:asciiTheme="minorHAnsi" w:hAnsiTheme="minorHAnsi"/>
          <w:lang w:val="el-GR"/>
        </w:rPr>
        <w:t xml:space="preserve"> </w:t>
      </w:r>
      <w:r w:rsidR="00FF643C">
        <w:rPr>
          <w:rFonts w:asciiTheme="minorHAnsi" w:hAnsiTheme="minorHAnsi"/>
        </w:rPr>
        <w:t>(</w:t>
      </w:r>
      <w:r w:rsidR="00FF643C">
        <w:rPr>
          <w:rFonts w:asciiTheme="minorHAnsi" w:hAnsiTheme="minorHAnsi"/>
          <w:lang w:val="el-GR"/>
        </w:rPr>
        <w:t>Ε)</w:t>
      </w:r>
      <w:bookmarkStart w:id="0" w:name="_GoBack"/>
      <w:bookmarkEnd w:id="0"/>
      <w:r w:rsidRPr="00FF643C">
        <w:rPr>
          <w:rFonts w:asciiTheme="minorHAnsi" w:hAnsiTheme="minorHAnsi"/>
          <w:lang w:val="el-GR"/>
        </w:rPr>
        <w:t xml:space="preserve">. </w:t>
      </w:r>
      <w:r w:rsidR="00147B9C" w:rsidRPr="00FF643C">
        <w:rPr>
          <w:rFonts w:asciiTheme="minorHAnsi" w:hAnsiTheme="minorHAnsi"/>
          <w:lang w:val="el-GR"/>
        </w:rPr>
        <w:t xml:space="preserve">Ενότητα </w:t>
      </w:r>
      <w:r w:rsidR="00FA5488" w:rsidRPr="00FF643C">
        <w:rPr>
          <w:rFonts w:asciiTheme="minorHAnsi" w:hAnsiTheme="minorHAnsi"/>
          <w:lang w:val="el-GR"/>
        </w:rPr>
        <w:t>1</w:t>
      </w:r>
      <w:r w:rsidR="00147B9C" w:rsidRPr="00FF643C">
        <w:rPr>
          <w:rFonts w:asciiTheme="minorHAnsi" w:hAnsiTheme="minorHAnsi"/>
          <w:lang w:val="el-GR"/>
        </w:rPr>
        <w:t xml:space="preserve">: </w:t>
      </w:r>
      <w:r w:rsidR="00FA5488" w:rsidRPr="00FF643C">
        <w:rPr>
          <w:rFonts w:asciiTheme="minorHAnsi" w:hAnsiTheme="minorHAnsi"/>
          <w:lang w:val="el-GR"/>
        </w:rPr>
        <w:t>1</w:t>
      </w:r>
      <w:r w:rsidR="00DA3DFA" w:rsidRPr="00FF643C">
        <w:rPr>
          <w:rFonts w:asciiTheme="minorHAnsi" w:hAnsiTheme="minorHAnsi"/>
          <w:lang w:val="el-GR"/>
        </w:rPr>
        <w:t xml:space="preserve">η </w:t>
      </w:r>
      <w:r w:rsidR="00393CED" w:rsidRPr="00FF643C">
        <w:rPr>
          <w:rFonts w:asciiTheme="minorHAnsi" w:hAnsiTheme="minorHAnsi"/>
          <w:lang w:val="el-GR"/>
        </w:rPr>
        <w:t>Σειρά ασκήσεων</w:t>
      </w:r>
      <w:r w:rsidR="00670635" w:rsidRPr="00FF643C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6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164E24" w:rsidRPr="00622D8C" w:rsidRDefault="00164E24" w:rsidP="00164E2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164E24" w:rsidRPr="00794F0C" w:rsidRDefault="00164E24" w:rsidP="00164E2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64E24" w:rsidRPr="00794F0C" w:rsidRDefault="00164E24" w:rsidP="00164E24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164E24" w:rsidRPr="00622D8C" w:rsidRDefault="00164E24" w:rsidP="00164E24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1E222D2F" wp14:editId="202C2377">
            <wp:extent cx="1648800" cy="576000"/>
            <wp:effectExtent l="0" t="0" r="8890" b="0"/>
            <wp:docPr id="2" name="Picture 22" descr="Λογότυπο για Άδειες χρήσης Creative Commons BY-NC-S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64E24" w:rsidRPr="00794F0C" w:rsidRDefault="00164E24" w:rsidP="00164E24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164E24" w:rsidRPr="00794F0C" w:rsidRDefault="00164E24" w:rsidP="00164E24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164E24" w:rsidRPr="00794F0C" w:rsidRDefault="00164E24" w:rsidP="00164E24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164E24" w:rsidRPr="00794F0C" w:rsidRDefault="00164E24" w:rsidP="00164E24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164E24" w:rsidRPr="00794F0C" w:rsidRDefault="00164E24" w:rsidP="00164E24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164E24" w:rsidRPr="00C30551" w:rsidRDefault="00164E24" w:rsidP="00164E24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164E24" w:rsidRPr="00C30551" w:rsidRDefault="00164E24" w:rsidP="00164E24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C3055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164E24" w:rsidRPr="00794F0C" w:rsidRDefault="00164E24" w:rsidP="00164E24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164E24" w:rsidRDefault="00164E24" w:rsidP="00164E24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164E24" w:rsidRPr="00FF643C" w:rsidTr="004B0F78">
        <w:tc>
          <w:tcPr>
            <w:tcW w:w="2093" w:type="dxa"/>
          </w:tcPr>
          <w:p w:rsidR="00164E24" w:rsidRPr="00021A16" w:rsidRDefault="00164E24" w:rsidP="004B0F7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164E24" w:rsidRDefault="00164E24" w:rsidP="004B0F7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164E24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164E24" w:rsidRDefault="00164E24" w:rsidP="004B0F7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164E24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64E24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64E24" w:rsidRPr="00FF643C" w:rsidTr="004B0F78">
        <w:tc>
          <w:tcPr>
            <w:tcW w:w="2093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164E24" w:rsidRDefault="00164E24" w:rsidP="004B0F7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164E24" w:rsidRPr="00794F0C" w:rsidRDefault="00164E24" w:rsidP="00164E24">
      <w:pPr>
        <w:rPr>
          <w:rFonts w:asciiTheme="minorHAnsi" w:hAnsiTheme="minorHAnsi"/>
          <w:lang w:val="el-GR"/>
        </w:rPr>
      </w:pPr>
    </w:p>
    <w:p w:rsidR="00164E24" w:rsidRDefault="00164E24" w:rsidP="00164E2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164E24" w:rsidRPr="00A36113" w:rsidRDefault="00164E24" w:rsidP="00164E2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164E24" w:rsidRPr="00A36113" w:rsidRDefault="00164E24" w:rsidP="00164E24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164E24" w:rsidRPr="00A36113" w:rsidRDefault="00164E24" w:rsidP="00164E24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164E24" w:rsidRPr="00A36113" w:rsidRDefault="00164E24" w:rsidP="00164E24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Το Σημείωμα </w:t>
      </w:r>
      <w:proofErr w:type="spellStart"/>
      <w:r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164E24" w:rsidRPr="00A36113" w:rsidRDefault="00164E24" w:rsidP="00164E24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164E24" w:rsidRPr="00C30551" w:rsidRDefault="00164E24" w:rsidP="00164E24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A36113">
        <w:rPr>
          <w:rFonts w:asciiTheme="minorHAnsi" w:hAnsiTheme="minorHAnsi"/>
          <w:lang w:val="el-GR"/>
        </w:rPr>
        <w:t>υπερσυνδέσμους</w:t>
      </w:r>
      <w:proofErr w:type="spellEnd"/>
      <w:r w:rsidRPr="00A36113">
        <w:rPr>
          <w:rFonts w:asciiTheme="minorHAnsi" w:hAnsiTheme="minorHAnsi"/>
          <w:lang w:val="el-GR"/>
        </w:rPr>
        <w:t>.</w:t>
      </w:r>
    </w:p>
    <w:p w:rsidR="00B3399D" w:rsidRPr="00622D8C" w:rsidRDefault="00B3399D" w:rsidP="00164E24">
      <w:pPr>
        <w:rPr>
          <w:rFonts w:asciiTheme="minorHAnsi" w:hAnsiTheme="minorHAnsi" w:cs="Arial"/>
          <w:lang w:val="el-GR"/>
        </w:rPr>
      </w:pPr>
    </w:p>
    <w:sectPr w:rsidR="00B3399D" w:rsidRPr="00622D8C" w:rsidSect="00635481">
      <w:footerReference w:type="default" r:id="rId19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FF643C">
          <w:rPr>
            <w:noProof/>
            <w:sz w:val="28"/>
            <w:szCs w:val="28"/>
          </w:rPr>
          <w:t>6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47B9C"/>
    <w:rsid w:val="001509F1"/>
    <w:rsid w:val="00156ABF"/>
    <w:rsid w:val="00164E24"/>
    <w:rsid w:val="0017308B"/>
    <w:rsid w:val="001D479D"/>
    <w:rsid w:val="00224459"/>
    <w:rsid w:val="002312E0"/>
    <w:rsid w:val="00251B16"/>
    <w:rsid w:val="00251F93"/>
    <w:rsid w:val="002962FE"/>
    <w:rsid w:val="002C12EC"/>
    <w:rsid w:val="002F6BFC"/>
    <w:rsid w:val="00330C19"/>
    <w:rsid w:val="00377D3A"/>
    <w:rsid w:val="00393CED"/>
    <w:rsid w:val="00395176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366C"/>
    <w:rsid w:val="00585195"/>
    <w:rsid w:val="0059100E"/>
    <w:rsid w:val="005A4EC8"/>
    <w:rsid w:val="00610FD2"/>
    <w:rsid w:val="00620220"/>
    <w:rsid w:val="00622D8C"/>
    <w:rsid w:val="006244CF"/>
    <w:rsid w:val="00631ED6"/>
    <w:rsid w:val="00635481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DE5BC3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4B17"/>
    <w:rsid w:val="00F652D1"/>
    <w:rsid w:val="00FA5488"/>
    <w:rsid w:val="00FB0F4E"/>
    <w:rsid w:val="00FD0A80"/>
    <w:rsid w:val="00FD500A"/>
    <w:rsid w:val="00FF643C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%5b1%5d%20http:/creativecommons.org/licenses/by-nc-sa/4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file:///C:\Users\pantelis\Downloads\%5b1%5d%20http:\creativecommons.org\licenses\by-nc-sa\4.0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p.teiath.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E20B-1398-4A5F-9814-0BECC100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669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6</cp:revision>
  <dcterms:created xsi:type="dcterms:W3CDTF">2014-11-24T12:13:00Z</dcterms:created>
  <dcterms:modified xsi:type="dcterms:W3CDTF">2015-02-24T15:03:00Z</dcterms:modified>
</cp:coreProperties>
</file>