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6A41AD"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85111B" w:rsidRPr="006A41AD">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6A41AD">
        <w:rPr>
          <w:rFonts w:asciiTheme="minorHAnsi" w:hAnsiTheme="minorHAnsi" w:cs="Arial"/>
          <w:bCs/>
          <w:sz w:val="24"/>
          <w:szCs w:val="24"/>
          <w:lang w:val="el-GR"/>
        </w:rPr>
        <w:t>Εισαγωγή Ουροκαθετήρα</w:t>
      </w:r>
      <w:r w:rsidR="0068790F">
        <w:rPr>
          <w:rFonts w:asciiTheme="minorHAnsi" w:hAnsiTheme="minorHAnsi" w:cs="Arial"/>
          <w:bCs/>
          <w:sz w:val="24"/>
          <w:szCs w:val="24"/>
          <w:lang w:val="el-GR"/>
        </w:rPr>
        <w:t xml:space="preserve"> – Ερωτήσεις Εργαστηρίου</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517CB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31876" w:rsidRDefault="00F31876">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p w:rsidR="0068790F" w:rsidRPr="0068790F" w:rsidRDefault="0068790F" w:rsidP="0068790F">
      <w:pPr>
        <w:shd w:val="clear" w:color="auto" w:fill="FBD4B4" w:themeFill="accent6" w:themeFillTint="66"/>
        <w:spacing w:after="0" w:line="240" w:lineRule="auto"/>
        <w:jc w:val="center"/>
        <w:rPr>
          <w:rFonts w:cs="Arial"/>
          <w:b/>
          <w:lang w:val="el-GR"/>
        </w:rPr>
      </w:pPr>
      <w:r w:rsidRPr="0068790F">
        <w:rPr>
          <w:rFonts w:cs="Arial"/>
          <w:b/>
          <w:lang w:val="el-GR"/>
        </w:rPr>
        <w:t>Ερωτήσεις Αξιολόγησης Εργαστηριακού Μαθήματος</w:t>
      </w:r>
    </w:p>
    <w:p w:rsidR="0068790F" w:rsidRPr="0068790F" w:rsidRDefault="0068790F" w:rsidP="0068790F">
      <w:pPr>
        <w:shd w:val="clear" w:color="auto" w:fill="E5B8B7" w:themeFill="accent2" w:themeFillTint="66"/>
        <w:spacing w:after="0" w:line="240" w:lineRule="auto"/>
        <w:jc w:val="center"/>
        <w:rPr>
          <w:rFonts w:cs="Arial"/>
          <w:b/>
          <w:lang w:val="el-GR"/>
        </w:rPr>
      </w:pPr>
      <w:r w:rsidRPr="0068790F">
        <w:rPr>
          <w:rFonts w:cs="Arial"/>
          <w:b/>
          <w:lang w:val="el-GR"/>
        </w:rPr>
        <w:t xml:space="preserve">Θέμα: </w:t>
      </w:r>
      <w:r w:rsidRPr="0068790F">
        <w:rPr>
          <w:rFonts w:cs="Arial"/>
          <w:lang w:val="el-GR"/>
        </w:rPr>
        <w:t>«Εισαγωγή καθετήρα ουροδόχου κύστης»</w:t>
      </w:r>
    </w:p>
    <w:p w:rsidR="0068790F" w:rsidRPr="0068790F" w:rsidRDefault="0068790F" w:rsidP="0068790F">
      <w:pPr>
        <w:spacing w:after="0" w:line="240" w:lineRule="auto"/>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ο καθετηριασμός ουροδόχου κύστεως;</w:t>
      </w:r>
    </w:p>
    <w:p w:rsidR="0068790F" w:rsidRPr="0068790F" w:rsidRDefault="0068790F" w:rsidP="0068790F">
      <w:pPr>
        <w:pStyle w:val="a4"/>
        <w:numPr>
          <w:ilvl w:val="2"/>
          <w:numId w:val="44"/>
        </w:numPr>
        <w:ind w:left="709" w:hanging="283"/>
        <w:jc w:val="both"/>
        <w:rPr>
          <w:rFonts w:cs="Arial"/>
          <w:lang w:val="el-GR"/>
        </w:rPr>
      </w:pPr>
      <w:r w:rsidRPr="0068790F">
        <w:rPr>
          <w:rFonts w:cs="Arial"/>
          <w:lang w:val="el-GR"/>
        </w:rPr>
        <w:t>Είναι η εισαγωγή καθετήρα (</w:t>
      </w:r>
      <w:r w:rsidRPr="0068790F">
        <w:rPr>
          <w:rFonts w:cs="Arial"/>
        </w:rPr>
        <w:t>folley</w:t>
      </w:r>
      <w:r w:rsidRPr="0068790F">
        <w:rPr>
          <w:rFonts w:cs="Arial"/>
          <w:lang w:val="el-GR"/>
        </w:rPr>
        <w:t>) στην ουροδόχο κύστη, δια μέσω της ουρήθρας, με σκοπό την παροχέτευση των ούρων</w:t>
      </w:r>
    </w:p>
    <w:p w:rsidR="0068790F" w:rsidRPr="0068790F" w:rsidRDefault="0068790F" w:rsidP="0068790F">
      <w:pPr>
        <w:pStyle w:val="a4"/>
        <w:spacing w:after="0" w:line="240" w:lineRule="auto"/>
        <w:ind w:left="426"/>
        <w:jc w:val="both"/>
        <w:rPr>
          <w:rFonts w:cs="Arial"/>
          <w:b/>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Ποιες είναι οι διαγνωστικές ενδείξεις εισαγωγής καθετήρα ουροδόχου κύστεως;</w:t>
      </w:r>
    </w:p>
    <w:p w:rsidR="0068790F" w:rsidRPr="0068790F" w:rsidRDefault="0068790F" w:rsidP="0068790F">
      <w:pPr>
        <w:pStyle w:val="a4"/>
        <w:numPr>
          <w:ilvl w:val="2"/>
          <w:numId w:val="44"/>
        </w:numPr>
        <w:ind w:left="709" w:hanging="283"/>
        <w:jc w:val="both"/>
        <w:rPr>
          <w:rFonts w:cs="Arial"/>
        </w:rPr>
      </w:pPr>
      <w:r w:rsidRPr="0068790F">
        <w:rPr>
          <w:rFonts w:cs="Arial"/>
        </w:rPr>
        <w:t>Συλλογή ούρων για καλλιέργεια</w:t>
      </w:r>
    </w:p>
    <w:p w:rsidR="0068790F" w:rsidRPr="0068790F" w:rsidRDefault="0068790F" w:rsidP="0068790F">
      <w:pPr>
        <w:pStyle w:val="a4"/>
        <w:numPr>
          <w:ilvl w:val="2"/>
          <w:numId w:val="44"/>
        </w:numPr>
        <w:ind w:left="709" w:hanging="283"/>
        <w:jc w:val="both"/>
        <w:rPr>
          <w:rFonts w:cs="Arial"/>
        </w:rPr>
      </w:pPr>
      <w:r w:rsidRPr="0068790F">
        <w:rPr>
          <w:rFonts w:cs="Arial"/>
        </w:rPr>
        <w:t>Μέτρηση υπολείμματος ούρων</w:t>
      </w:r>
    </w:p>
    <w:p w:rsidR="0068790F" w:rsidRPr="0068790F" w:rsidRDefault="0068790F" w:rsidP="0068790F">
      <w:pPr>
        <w:pStyle w:val="a4"/>
        <w:numPr>
          <w:ilvl w:val="2"/>
          <w:numId w:val="44"/>
        </w:numPr>
        <w:ind w:left="709" w:hanging="283"/>
        <w:jc w:val="both"/>
        <w:rPr>
          <w:rFonts w:cs="Arial"/>
        </w:rPr>
      </w:pPr>
      <w:r w:rsidRPr="0068790F">
        <w:rPr>
          <w:rFonts w:cs="Arial"/>
        </w:rPr>
        <w:t>Έγχυση σκιαγραφικής ουσίας</w:t>
      </w:r>
    </w:p>
    <w:p w:rsidR="0068790F" w:rsidRPr="0068790F" w:rsidRDefault="0068790F" w:rsidP="0068790F">
      <w:pPr>
        <w:pStyle w:val="a4"/>
        <w:numPr>
          <w:ilvl w:val="2"/>
          <w:numId w:val="44"/>
        </w:numPr>
        <w:spacing w:after="0" w:line="240" w:lineRule="auto"/>
        <w:ind w:left="709" w:hanging="283"/>
        <w:jc w:val="both"/>
        <w:rPr>
          <w:rFonts w:cs="Arial"/>
          <w:lang w:val="el-GR"/>
        </w:rPr>
      </w:pPr>
      <w:r w:rsidRPr="0068790F">
        <w:rPr>
          <w:rFonts w:cs="Arial"/>
          <w:lang w:val="el-GR"/>
        </w:rPr>
        <w:t>Ουροδυναμική μελέτη του κατώτερου ουροποιητικού συστήματος</w:t>
      </w:r>
    </w:p>
    <w:p w:rsidR="0068790F" w:rsidRPr="0068790F" w:rsidRDefault="0068790F" w:rsidP="0068790F">
      <w:pPr>
        <w:pStyle w:val="a4"/>
        <w:spacing w:after="0" w:line="240" w:lineRule="auto"/>
        <w:ind w:left="709"/>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Ποιες είναι οι θεραπευτικές ενδείξεις εισαγωγής καθετήρα ουροδόχου κύστεως;</w:t>
      </w:r>
    </w:p>
    <w:p w:rsidR="0068790F" w:rsidRPr="0068790F" w:rsidRDefault="0068790F" w:rsidP="0068790F">
      <w:pPr>
        <w:pStyle w:val="a4"/>
        <w:numPr>
          <w:ilvl w:val="2"/>
          <w:numId w:val="45"/>
        </w:numPr>
        <w:ind w:left="709" w:hanging="283"/>
        <w:jc w:val="both"/>
        <w:rPr>
          <w:rFonts w:cs="Arial"/>
        </w:rPr>
      </w:pPr>
      <w:r w:rsidRPr="0068790F">
        <w:rPr>
          <w:rFonts w:cs="Arial"/>
        </w:rPr>
        <w:t>Άρση υποκυστικής απόφραξης</w:t>
      </w:r>
    </w:p>
    <w:p w:rsidR="0068790F" w:rsidRPr="0068790F" w:rsidRDefault="0068790F" w:rsidP="0068790F">
      <w:pPr>
        <w:pStyle w:val="a4"/>
        <w:numPr>
          <w:ilvl w:val="2"/>
          <w:numId w:val="45"/>
        </w:numPr>
        <w:ind w:left="709" w:hanging="283"/>
        <w:jc w:val="both"/>
        <w:rPr>
          <w:rFonts w:cs="Arial"/>
          <w:lang w:val="el-GR"/>
        </w:rPr>
      </w:pPr>
      <w:r w:rsidRPr="0068790F">
        <w:rPr>
          <w:rFonts w:cs="Arial"/>
          <w:lang w:val="el-GR"/>
        </w:rPr>
        <w:t>Παροχέτευση κύστεως σε χειρουργικές επεμβάσεις στο κατώτερο ουροποιητικό</w:t>
      </w:r>
    </w:p>
    <w:p w:rsidR="0068790F" w:rsidRPr="0068790F" w:rsidRDefault="0068790F" w:rsidP="0068790F">
      <w:pPr>
        <w:pStyle w:val="a4"/>
        <w:numPr>
          <w:ilvl w:val="2"/>
          <w:numId w:val="45"/>
        </w:numPr>
        <w:ind w:left="709" w:hanging="283"/>
        <w:jc w:val="both"/>
        <w:rPr>
          <w:rFonts w:cs="Arial"/>
          <w:lang w:val="el-GR"/>
        </w:rPr>
      </w:pPr>
      <w:r w:rsidRPr="0068790F">
        <w:rPr>
          <w:rFonts w:cs="Arial"/>
          <w:lang w:val="el-GR"/>
        </w:rPr>
        <w:t>Ακριβής μέτρηση ούρων (τήρηση ισοζυγίου)</w:t>
      </w:r>
    </w:p>
    <w:p w:rsidR="0068790F" w:rsidRPr="0068790F" w:rsidRDefault="0068790F" w:rsidP="0068790F">
      <w:pPr>
        <w:pStyle w:val="a4"/>
        <w:numPr>
          <w:ilvl w:val="2"/>
          <w:numId w:val="45"/>
        </w:numPr>
        <w:ind w:left="709" w:hanging="283"/>
        <w:jc w:val="both"/>
        <w:rPr>
          <w:rFonts w:cs="Arial"/>
          <w:lang w:val="el-GR"/>
        </w:rPr>
      </w:pPr>
      <w:r w:rsidRPr="0068790F">
        <w:rPr>
          <w:rFonts w:cs="Arial"/>
          <w:lang w:val="el-GR"/>
        </w:rPr>
        <w:t>Διαλείποντες καθετηριασμοί κύστεως (νευρογενής κύστη)</w:t>
      </w:r>
    </w:p>
    <w:p w:rsidR="0068790F" w:rsidRPr="0068790F" w:rsidRDefault="0068790F" w:rsidP="0068790F">
      <w:pPr>
        <w:pStyle w:val="a4"/>
        <w:numPr>
          <w:ilvl w:val="2"/>
          <w:numId w:val="45"/>
        </w:numPr>
        <w:ind w:left="709" w:hanging="283"/>
        <w:jc w:val="both"/>
        <w:rPr>
          <w:rFonts w:cs="Arial"/>
          <w:lang w:val="el-GR"/>
        </w:rPr>
      </w:pPr>
      <w:r w:rsidRPr="0068790F">
        <w:rPr>
          <w:rFonts w:cs="Arial"/>
          <w:lang w:val="el-GR"/>
        </w:rPr>
        <w:t>Τοποθέτηση καθετήρα ως νάρθηκα  (ουρηθροκυστική αναστόμωση)</w:t>
      </w:r>
    </w:p>
    <w:p w:rsidR="0068790F" w:rsidRPr="0068790F" w:rsidRDefault="0068790F" w:rsidP="0068790F">
      <w:pPr>
        <w:pStyle w:val="a4"/>
        <w:numPr>
          <w:ilvl w:val="2"/>
          <w:numId w:val="45"/>
        </w:numPr>
        <w:ind w:left="709" w:hanging="283"/>
        <w:jc w:val="both"/>
        <w:rPr>
          <w:rFonts w:cs="Arial"/>
        </w:rPr>
      </w:pPr>
      <w:r w:rsidRPr="0068790F">
        <w:rPr>
          <w:rFonts w:cs="Arial"/>
        </w:rPr>
        <w:t>Έγχυση φαρμάκου</w:t>
      </w:r>
    </w:p>
    <w:p w:rsidR="0068790F" w:rsidRPr="0068790F" w:rsidRDefault="0068790F" w:rsidP="0068790F">
      <w:pPr>
        <w:pStyle w:val="a4"/>
        <w:numPr>
          <w:ilvl w:val="2"/>
          <w:numId w:val="45"/>
        </w:numPr>
        <w:ind w:left="709" w:hanging="283"/>
        <w:jc w:val="both"/>
        <w:rPr>
          <w:rFonts w:cs="Arial"/>
          <w:lang w:val="el-GR"/>
        </w:rPr>
      </w:pPr>
      <w:r w:rsidRPr="0068790F">
        <w:rPr>
          <w:rFonts w:cs="Arial"/>
          <w:lang w:val="el-GR"/>
        </w:rPr>
        <w:t>Σε κατακλιμένους, με νευρολογικές παθήσεις, κωματώδεις καταστάσεις για λόγους καθαριότητας και πρόληψη κατακλίσεων</w:t>
      </w:r>
    </w:p>
    <w:p w:rsidR="0068790F" w:rsidRPr="0068790F" w:rsidRDefault="0068790F" w:rsidP="0068790F">
      <w:pPr>
        <w:pStyle w:val="a4"/>
        <w:spacing w:after="0" w:line="240" w:lineRule="auto"/>
        <w:ind w:left="2160"/>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Ποιοι είναι οι τύποι των καθετήρων ουροδόχου κύστεως;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Απλός Folley</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 xml:space="preserve">Τριών κατευθύνσεων </w:t>
      </w:r>
      <w:r w:rsidRPr="0068790F">
        <w:rPr>
          <w:rFonts w:cs="Arial"/>
        </w:rPr>
        <w:t>Folley</w:t>
      </w:r>
      <w:r w:rsidRPr="0068790F">
        <w:rPr>
          <w:rFonts w:cs="Arial"/>
          <w:lang w:val="el-GR"/>
        </w:rPr>
        <w:t xml:space="preserve"> (</w:t>
      </w:r>
      <w:r w:rsidRPr="0068790F">
        <w:rPr>
          <w:rFonts w:cs="Arial"/>
        </w:rPr>
        <w:t>Three</w:t>
      </w:r>
      <w:r w:rsidRPr="0068790F">
        <w:rPr>
          <w:rFonts w:cs="Arial"/>
          <w:lang w:val="el-GR"/>
        </w:rPr>
        <w:t xml:space="preserve"> </w:t>
      </w:r>
      <w:r w:rsidRPr="0068790F">
        <w:rPr>
          <w:rFonts w:cs="Arial"/>
        </w:rPr>
        <w:t>way</w:t>
      </w:r>
      <w:r w:rsidRPr="0068790F">
        <w:rPr>
          <w:rFonts w:cs="Arial"/>
          <w:lang w:val="el-GR"/>
        </w:rPr>
        <w:t>) για πλύσεις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Folley Silicone για παρατεταμένη χρήση</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Tieman</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Nelaton</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Malecot</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Pezzer</w:t>
      </w:r>
    </w:p>
    <w:p w:rsidR="0068790F" w:rsidRPr="0068790F" w:rsidRDefault="0068790F" w:rsidP="0068790F">
      <w:pPr>
        <w:pStyle w:val="a4"/>
        <w:spacing w:after="0" w:line="240" w:lineRule="auto"/>
        <w:ind w:left="426"/>
        <w:jc w:val="both"/>
        <w:rPr>
          <w:rFonts w:cs="Arial"/>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Με ποιες μονάδες μετράμε τη διάμετρο των καθετήρων και ποια τα συνήθη μεγέθη σε ενήλικες;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 xml:space="preserve">Η διάμετρος μετριέται με την κλίμακα </w:t>
      </w:r>
      <w:r w:rsidRPr="0068790F">
        <w:rPr>
          <w:rFonts w:cs="Arial"/>
        </w:rPr>
        <w:t>French</w:t>
      </w:r>
      <w:r w:rsidRPr="0068790F">
        <w:rPr>
          <w:rFonts w:cs="Arial"/>
          <w:lang w:val="el-GR"/>
        </w:rPr>
        <w:t xml:space="preserve"> (</w:t>
      </w:r>
      <w:r w:rsidRPr="0068790F">
        <w:rPr>
          <w:rFonts w:cs="Arial"/>
        </w:rPr>
        <w:t>Fr</w:t>
      </w:r>
      <w:r w:rsidRPr="0068790F">
        <w:rPr>
          <w:rFonts w:cs="Arial"/>
          <w:lang w:val="el-GR"/>
        </w:rPr>
        <w:t xml:space="preserve"> - Αμερικάνικο σύστημα) ή </w:t>
      </w:r>
      <w:r w:rsidRPr="0068790F">
        <w:rPr>
          <w:rFonts w:cs="Arial"/>
        </w:rPr>
        <w:t>Charrier</w:t>
      </w:r>
      <w:r w:rsidRPr="0068790F">
        <w:rPr>
          <w:rFonts w:cs="Arial"/>
          <w:lang w:val="el-GR"/>
        </w:rPr>
        <w:t xml:space="preserve"> (</w:t>
      </w:r>
      <w:r w:rsidRPr="0068790F">
        <w:rPr>
          <w:rFonts w:cs="Arial"/>
        </w:rPr>
        <w:t>Ch</w:t>
      </w:r>
      <w:r w:rsidRPr="0068790F">
        <w:rPr>
          <w:rFonts w:cs="Arial"/>
          <w:lang w:val="el-GR"/>
        </w:rPr>
        <w:t xml:space="preserve"> – Ευρωπαϊκά).</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1 Fr = 1 Ch = 0,33mm (άρα 3 Fr = 1mm)</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Παράδειγμα: Καθετήρας 18</w:t>
      </w:r>
      <w:r w:rsidRPr="0068790F">
        <w:rPr>
          <w:rFonts w:cs="Arial"/>
        </w:rPr>
        <w:t>Fr</w:t>
      </w:r>
      <w:r w:rsidRPr="0068790F">
        <w:rPr>
          <w:rFonts w:cs="Arial"/>
          <w:lang w:val="el-GR"/>
        </w:rPr>
        <w:t xml:space="preserve"> έχει διάμετρο 6</w:t>
      </w:r>
      <w:r w:rsidRPr="0068790F">
        <w:rPr>
          <w:rFonts w:cs="Arial"/>
        </w:rPr>
        <w:t>mm</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Τα συνήθη μεγέθη σε ενήλικες είναι: 16-18</w:t>
      </w:r>
      <w:r w:rsidRPr="0068790F">
        <w:rPr>
          <w:rFonts w:cs="Arial"/>
        </w:rPr>
        <w:t>Fr</w:t>
      </w:r>
      <w:r w:rsidRPr="0068790F">
        <w:rPr>
          <w:rFonts w:cs="Arial"/>
          <w:lang w:val="el-GR"/>
        </w:rPr>
        <w:t xml:space="preserve"> και άνω. Αρχικά επιλέγεται το μικρότερο κατάλληλο μέγεθος</w:t>
      </w:r>
    </w:p>
    <w:p w:rsidR="0068790F" w:rsidRPr="0068790F" w:rsidRDefault="0068790F" w:rsidP="0068790F">
      <w:pPr>
        <w:pStyle w:val="a4"/>
        <w:spacing w:after="0" w:line="240" w:lineRule="auto"/>
        <w:ind w:left="426"/>
        <w:jc w:val="both"/>
        <w:rPr>
          <w:rFonts w:cs="Arial"/>
          <w:b/>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Αίτια δυσκολίας καθετηριασμού ουροδόχου κύστης;</w:t>
      </w:r>
    </w:p>
    <w:p w:rsidR="0068790F" w:rsidRPr="0068790F" w:rsidRDefault="0068790F" w:rsidP="0068790F">
      <w:pPr>
        <w:pStyle w:val="a4"/>
        <w:numPr>
          <w:ilvl w:val="1"/>
          <w:numId w:val="43"/>
        </w:numPr>
        <w:ind w:left="709" w:hanging="283"/>
        <w:jc w:val="both"/>
        <w:rPr>
          <w:rFonts w:cs="Arial"/>
        </w:rPr>
      </w:pPr>
      <w:r w:rsidRPr="0068790F">
        <w:rPr>
          <w:rFonts w:cs="Arial"/>
        </w:rPr>
        <w:t>Υπερπλασία προστάτη</w:t>
      </w:r>
    </w:p>
    <w:p w:rsidR="0068790F" w:rsidRPr="0068790F" w:rsidRDefault="0068790F" w:rsidP="0068790F">
      <w:pPr>
        <w:pStyle w:val="a4"/>
        <w:numPr>
          <w:ilvl w:val="1"/>
          <w:numId w:val="43"/>
        </w:numPr>
        <w:ind w:left="709" w:hanging="283"/>
        <w:jc w:val="both"/>
        <w:rPr>
          <w:rFonts w:cs="Arial"/>
        </w:rPr>
      </w:pPr>
      <w:r w:rsidRPr="0068790F">
        <w:rPr>
          <w:rFonts w:cs="Arial"/>
        </w:rPr>
        <w:t>Μετεγχειρητική σύγκλειση κυστικού αυχένα</w:t>
      </w:r>
    </w:p>
    <w:p w:rsidR="0068790F" w:rsidRPr="0068790F" w:rsidRDefault="0068790F" w:rsidP="0068790F">
      <w:pPr>
        <w:pStyle w:val="a4"/>
        <w:numPr>
          <w:ilvl w:val="1"/>
          <w:numId w:val="43"/>
        </w:numPr>
        <w:ind w:left="709" w:hanging="283"/>
        <w:jc w:val="both"/>
        <w:rPr>
          <w:rFonts w:cs="Arial"/>
        </w:rPr>
      </w:pPr>
      <w:r w:rsidRPr="0068790F">
        <w:rPr>
          <w:rFonts w:cs="Arial"/>
        </w:rPr>
        <w:t>Στενώματα ουρήθρας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Κακώσεις ουρήθρας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lastRenderedPageBreak/>
        <w:t>Σπασμός ουρήθρας</w:t>
      </w:r>
    </w:p>
    <w:p w:rsidR="0068790F" w:rsidRPr="0068790F" w:rsidRDefault="0068790F" w:rsidP="0068790F">
      <w:pPr>
        <w:spacing w:after="0" w:line="240" w:lineRule="auto"/>
        <w:ind w:left="66"/>
        <w:jc w:val="both"/>
        <w:rPr>
          <w:rFonts w:cs="Arial"/>
          <w:b/>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Ποιος είναι ο μέγιστος χρόνος παραμονής ενός ουροκαθετήρα;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Τύπου Folley: 10-15 ημέρες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Τύπου Folley Silicone: 30-40 ημέρες</w:t>
      </w:r>
    </w:p>
    <w:p w:rsidR="0068790F" w:rsidRPr="0068790F" w:rsidRDefault="0068790F" w:rsidP="0068790F">
      <w:pPr>
        <w:spacing w:after="0" w:line="240" w:lineRule="auto"/>
        <w:ind w:left="66"/>
        <w:jc w:val="both"/>
        <w:rPr>
          <w:rFonts w:cs="Arial"/>
          <w:b/>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γνωρίζετ</w:t>
      </w:r>
      <w:r w:rsidR="00517CBA">
        <w:rPr>
          <w:rFonts w:cs="Arial"/>
          <w:b/>
          <w:lang w:val="el-GR"/>
        </w:rPr>
        <w:t>αι για το μπαλόνι του καθετήρα;</w:t>
      </w:r>
      <w:bookmarkStart w:id="0" w:name="_GoBack"/>
      <w:bookmarkEnd w:id="0"/>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Γεμίζει με 5-10cc φυσιολογικό ορό</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Αν κατά την διάρκεια που γεμίζει, συναντήσουμε ιδιαίτερη αντίσταση, είναι πιθανό να μην έχει προωθηθεί σωστά ο καθετήρας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Αφού γεμίσουμε το μπαλόνι, εφαρμόζουμε ήπια έλξη του καθετήρα ώστε το μπαλόνι να ακουμπήσει στον αυχένα της ουροδόχου κύστης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Για την αφαίρεση του καθετήρα, θα πρέπει απαραίτητα να αφαιρέσουμε πρώτα όλο το υγρό που χρησιμοποιήθηκε για το γέμισμα του μπαλονιού</w:t>
      </w:r>
    </w:p>
    <w:p w:rsidR="0068790F" w:rsidRPr="0068790F" w:rsidRDefault="0068790F" w:rsidP="0068790F">
      <w:pPr>
        <w:spacing w:after="0" w:line="240" w:lineRule="auto"/>
        <w:ind w:left="66"/>
        <w:jc w:val="both"/>
        <w:rPr>
          <w:rFonts w:cs="Arial"/>
          <w:b/>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Ποια είναι τα εξωτερικά ανατομικά μέρη του ουροποιογεννητικού συστήματος του άνδρα και της γυναίκας;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Άνδρας:</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Βάλανος και ουρήθρα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Πόσθη</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Στεφανιαία αύλακα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Σώμα πέους</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Όσχεο</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Γυναίκα: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Μεγάλα χείλη</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Μικρά χείλη</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Πόσθη κλειτορίδας</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Κλειτορίδα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Ουρήθρα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Κόλπος</w:t>
      </w:r>
    </w:p>
    <w:p w:rsidR="0068790F" w:rsidRPr="0068790F" w:rsidRDefault="0068790F" w:rsidP="0068790F">
      <w:pPr>
        <w:spacing w:after="0" w:line="240" w:lineRule="auto"/>
        <w:ind w:left="66"/>
        <w:jc w:val="both"/>
        <w:rPr>
          <w:rFonts w:cs="Arial"/>
          <w:b/>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Ποιο είναι το μήκος της ουρήθρας σε γυναίκα και άνδρα;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Σε γυναίκα η ουρήθρα έχει μήκος 3-6 εκατοστά</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Σε άνδρα η ουρήθρα έχει μήκος 18-21 εκατοστά</w:t>
      </w:r>
    </w:p>
    <w:p w:rsidR="0068790F" w:rsidRPr="0068790F" w:rsidRDefault="0068790F" w:rsidP="0068790F">
      <w:pPr>
        <w:pStyle w:val="a4"/>
        <w:spacing w:after="0" w:line="240" w:lineRule="auto"/>
        <w:ind w:left="709"/>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Αναφέρατε κατά σειρά τα βασικά ανατομικά μέρη του ουροποιητικού συστήματος: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Νεφρική αρτηρία και φλέβα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Νεφρός(κάψα, φλοιός, μυελός)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Νεφρικοί κάλυκες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Νεφρική πύελος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Ουρητήρας</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Ουροδόχος κύστη</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Ουρήθρα</w:t>
      </w:r>
    </w:p>
    <w:p w:rsidR="0068790F" w:rsidRPr="0068790F" w:rsidRDefault="0068790F" w:rsidP="0068790F">
      <w:pPr>
        <w:pStyle w:val="a4"/>
        <w:spacing w:after="0" w:line="240" w:lineRule="auto"/>
        <w:ind w:left="709"/>
        <w:jc w:val="both"/>
        <w:rPr>
          <w:rFonts w:cs="Arial"/>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Αναφέρατε κατά σειρά τα βασικά ανατομικά μέρη του νεφρώνα: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Προσαγωγό και απαγωγό αρτηρίδιο</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Σπείραμα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Σπειραματική κάψα (του Bowman)</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Εγγύς εσπειρωμένο σωληνάριο</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Κατιόν σκέλος αγκύλης Henle</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 xml:space="preserve">Λεπτό και παχύ ανιόν σκέλος αγκύλης </w:t>
      </w:r>
      <w:r w:rsidRPr="0068790F">
        <w:rPr>
          <w:rFonts w:cs="Arial"/>
        </w:rPr>
        <w:t>Henle</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Άπω εσπειρωμένο σωληνάριο</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lastRenderedPageBreak/>
        <w:t>Αθροιστικό σωληνάριο</w:t>
      </w:r>
    </w:p>
    <w:p w:rsidR="0068790F" w:rsidRPr="0068790F" w:rsidRDefault="0068790F" w:rsidP="0068790F">
      <w:pPr>
        <w:pStyle w:val="a4"/>
        <w:spacing w:after="0" w:line="240" w:lineRule="auto"/>
        <w:ind w:left="709"/>
        <w:jc w:val="both"/>
        <w:rPr>
          <w:rFonts w:cs="Arial"/>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η ακράτεια ούρων, τι η επίσχεση ούρων και ποια τα πιθανά νοσηλευτικά μέτρα για την επίσχεση;</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Ακράτεια ούρων: Αδυναμία κύστης να συγκρατήσει</w:t>
      </w:r>
      <w:r w:rsidRPr="0068790F">
        <w:rPr>
          <w:rFonts w:cs="Arial"/>
        </w:rPr>
        <w:t> </w:t>
      </w:r>
      <w:r w:rsidRPr="0068790F">
        <w:rPr>
          <w:rFonts w:cs="Arial"/>
          <w:lang w:val="el-GR"/>
        </w:rPr>
        <w:t>τα ούρα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Επίσχεση ούρων: Αδυναμία κύστης να αποβάλει</w:t>
      </w:r>
      <w:r w:rsidRPr="0068790F">
        <w:rPr>
          <w:rFonts w:cs="Arial"/>
        </w:rPr>
        <w:t> </w:t>
      </w:r>
      <w:r w:rsidRPr="0068790F">
        <w:rPr>
          <w:rFonts w:cs="Arial"/>
          <w:lang w:val="el-GR"/>
        </w:rPr>
        <w:t>ούρα που υπάρχουν σε αυτή.</w:t>
      </w:r>
    </w:p>
    <w:p w:rsidR="0068790F" w:rsidRPr="0068790F" w:rsidRDefault="0068790F" w:rsidP="0068790F">
      <w:pPr>
        <w:pStyle w:val="a4"/>
        <w:numPr>
          <w:ilvl w:val="2"/>
          <w:numId w:val="43"/>
        </w:numPr>
        <w:spacing w:after="0" w:line="240" w:lineRule="auto"/>
        <w:ind w:left="1276"/>
        <w:jc w:val="both"/>
        <w:rPr>
          <w:rFonts w:cs="Arial"/>
          <w:lang w:val="el-GR"/>
        </w:rPr>
      </w:pPr>
      <w:r w:rsidRPr="0068790F">
        <w:rPr>
          <w:rFonts w:cs="Arial"/>
          <w:lang w:val="el-GR"/>
        </w:rPr>
        <w:t>Νοσηλευτικά μέτρα: Κατάλληλη θέση, πολλά υγρά, τοποθέτηση χεριών αρρώστου στο θερμό νερό, άνοιγμα βρύσης, καθετηριασμός</w:t>
      </w:r>
    </w:p>
    <w:p w:rsidR="0068790F" w:rsidRPr="0068790F" w:rsidRDefault="0068790F" w:rsidP="0068790F">
      <w:pPr>
        <w:spacing w:after="0" w:line="240" w:lineRule="auto"/>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η συχνουρία, η δυσουρία και η ανουρία;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Συχνουρία: Συχνή ούρηση</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Δυσουρία: Επώδυνη ούρηση</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Ανουρία: Αδυναμία νεφρικού παρεγχύματος να παράγει ούρα</w:t>
      </w:r>
    </w:p>
    <w:p w:rsidR="0068790F" w:rsidRPr="0068790F" w:rsidRDefault="0068790F" w:rsidP="0068790F">
      <w:pPr>
        <w:spacing w:after="0" w:line="240" w:lineRule="auto"/>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η αιμοσφαιρινουρία, η αιματουρία και η λευκωματουρία;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Αιμοσφαιρινουρία: Παρουσία οξυαιμοσφαιρίνης στα ούρα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Αιματουρία: Παρουσία ερυθρών αιμοσφαιρίων στα ούρα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Λευκωματουρία: Παρουσία λευκώματος στα ούρα (π.χ. νεφρίτιδα)</w:t>
      </w:r>
    </w:p>
    <w:p w:rsidR="0068790F" w:rsidRPr="0068790F" w:rsidRDefault="0068790F" w:rsidP="0068790F">
      <w:pPr>
        <w:pStyle w:val="a4"/>
        <w:spacing w:after="0" w:line="240" w:lineRule="auto"/>
        <w:ind w:left="709"/>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η γλυκοζουρία και η κετονουρία;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lang w:val="el-GR"/>
        </w:rPr>
        <w:t xml:space="preserve">Γλυκοζουρία: Παρουσία γλυκόζης στα ούρα (πχ. </w:t>
      </w:r>
      <w:r w:rsidRPr="0068790F">
        <w:rPr>
          <w:rFonts w:cs="Arial"/>
        </w:rPr>
        <w:t>Σακχαρώδης Διαβήτης)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Κετονουρία: Παρουσία κετονικών σωμάτων στα ούρα (π.χ. Διαβητική Κετοξέωση)</w:t>
      </w:r>
    </w:p>
    <w:p w:rsidR="0068790F" w:rsidRPr="0068790F" w:rsidRDefault="0068790F" w:rsidP="0068790F">
      <w:pPr>
        <w:pStyle w:val="a4"/>
        <w:spacing w:after="0" w:line="240" w:lineRule="auto"/>
        <w:ind w:left="426"/>
        <w:jc w:val="both"/>
        <w:rPr>
          <w:rFonts w:cs="Arial"/>
          <w:b/>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είναι η πυουρία, η κυλινδρουρία και η βακτηριουρία;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Πυουρία: Παρουσία πυοσφαιρίων στα ούρα (σε ουρολοίμωξη)</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Κυλινδρουρία: Παρουσία κυλίνδρων στα ούρα (π.χ. λοιμώξεις, φάρμακα)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Βακτηριουρία: Παρουσία βακτηριδίων στα ούρα. Η σπουδαιότητά της εκτιμάται από τον αριθμό αποικιών που αναπτύσσονται κατά την καλλιέργεια. Όταν είναι πάνω από 5000/</w:t>
      </w:r>
      <w:r w:rsidRPr="0068790F">
        <w:rPr>
          <w:rFonts w:cs="Arial"/>
        </w:rPr>
        <w:t>cm</w:t>
      </w:r>
      <w:r w:rsidRPr="0068790F">
        <w:rPr>
          <w:rFonts w:cs="Arial"/>
          <w:vertAlign w:val="superscript"/>
          <w:lang w:val="el-GR"/>
        </w:rPr>
        <w:t>3</w:t>
      </w:r>
      <w:r w:rsidRPr="0068790F">
        <w:rPr>
          <w:rFonts w:cs="Arial"/>
          <w:lang w:val="el-GR"/>
        </w:rPr>
        <w:t xml:space="preserve"> δείχνει μόλυνση ουροποιητικού. Κάτω από τον αριθμό συνιστάται επανέλεγχος, γιατί μπορεί να σημαίνει επιμόλυνση.</w:t>
      </w:r>
    </w:p>
    <w:p w:rsidR="0068790F" w:rsidRPr="0068790F" w:rsidRDefault="0068790F" w:rsidP="0068790F">
      <w:pPr>
        <w:spacing w:after="0" w:line="240" w:lineRule="auto"/>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Τι γνωρίζετε για τις ουροκαλλιέργειες;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Πρόκειται για μικροβιολογική εξέταση που απαντά στο ερώτημα εάν ο άρρωστος έχει ουρολοίμωξη ή όχι. Αρχικά διαπιστώνεται εάν τα ούρα είναι στείρα ή περιέχουν μικρόβια και στη συνέχεια εξετάζεται το είδος, ο αριθμός και η ευαισθησία των μικροβίων</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Συνήθως το δείγμα λαμβάνεται από τα πρώτα πρωινά ούρα, από το μέσο ρεύμα της ούρησης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Σπανιότερα μπορεί να ληφθούν από καθετήρα (καθετηριασμός για άλλη αιτία, ή μόνιμος καθετήρας)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 xml:space="preserve">Το δοχείο συλλογής με τα ούρα θα πρέπει να αποσταλεί στο εργαστήριο μέσα σε 10-15 λεπτά από τη στιγμή της λήψης, διαφορετικά, θα πρέπει να φυλαχθούν σε θερμοκρασία ψυγείου (2-40 </w:t>
      </w:r>
      <w:r w:rsidRPr="0068790F">
        <w:rPr>
          <w:rFonts w:cs="Arial"/>
        </w:rPr>
        <w:t>C</w:t>
      </w:r>
      <w:r w:rsidRPr="0068790F">
        <w:rPr>
          <w:rFonts w:cs="Arial"/>
          <w:lang w:val="el-GR"/>
        </w:rPr>
        <w:t>), μέχρι 24 ώρες</w:t>
      </w:r>
    </w:p>
    <w:p w:rsidR="0068790F" w:rsidRPr="0068790F" w:rsidRDefault="0068790F" w:rsidP="0068790F">
      <w:pPr>
        <w:pStyle w:val="a4"/>
        <w:spacing w:after="0" w:line="240" w:lineRule="auto"/>
        <w:ind w:left="709"/>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Ποια είναι η κατάλληλη διαδικασία για τη λήψη δείγματος ούρων για καλλιέργεια;</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Σε άνδρα: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Σχολαστικό πλύσιμο χεριών</w:t>
      </w:r>
    </w:p>
    <w:p w:rsidR="0068790F" w:rsidRPr="00F31876" w:rsidRDefault="0068790F" w:rsidP="0068790F">
      <w:pPr>
        <w:pStyle w:val="a4"/>
        <w:numPr>
          <w:ilvl w:val="2"/>
          <w:numId w:val="43"/>
        </w:numPr>
        <w:ind w:left="1276"/>
        <w:jc w:val="both"/>
        <w:rPr>
          <w:rFonts w:cs="Arial"/>
          <w:lang w:val="el-GR"/>
        </w:rPr>
      </w:pPr>
      <w:r w:rsidRPr="0068790F">
        <w:rPr>
          <w:rFonts w:cs="Arial"/>
          <w:lang w:val="el-GR"/>
        </w:rPr>
        <w:t xml:space="preserve">Καλός καθαρισμός των έξω γεννητικών οργάνων με σαπούνι και νερό (όχι αντισηπτικά διαλύματα). </w:t>
      </w:r>
      <w:r w:rsidRPr="00F31876">
        <w:rPr>
          <w:rFonts w:cs="Arial"/>
          <w:lang w:val="el-GR"/>
        </w:rPr>
        <w:t>Προσεκτικό σκούπισμα με καθαρή πετσέτα</w:t>
      </w:r>
    </w:p>
    <w:p w:rsidR="0068790F" w:rsidRPr="0068790F" w:rsidRDefault="0068790F" w:rsidP="0068790F">
      <w:pPr>
        <w:pStyle w:val="a4"/>
        <w:numPr>
          <w:ilvl w:val="2"/>
          <w:numId w:val="43"/>
        </w:numPr>
        <w:ind w:left="1276"/>
        <w:jc w:val="both"/>
        <w:rPr>
          <w:rFonts w:cs="Arial"/>
          <w:lang w:val="el-GR"/>
        </w:rPr>
      </w:pPr>
      <w:r w:rsidRPr="0068790F">
        <w:rPr>
          <w:rFonts w:cs="Arial"/>
          <w:lang w:val="el-GR"/>
        </w:rPr>
        <w:lastRenderedPageBreak/>
        <w:t>Σε όλη τη διάρκεια της διαδικασίας συλλογής η ακροποσθία πρέπει να είναι τραβηγμένη πίσω στη στεφανιαία αύλακα</w:t>
      </w:r>
    </w:p>
    <w:p w:rsidR="0068790F" w:rsidRPr="0068790F" w:rsidRDefault="0068790F" w:rsidP="0068790F">
      <w:pPr>
        <w:pStyle w:val="a4"/>
        <w:numPr>
          <w:ilvl w:val="2"/>
          <w:numId w:val="43"/>
        </w:numPr>
        <w:ind w:left="1276"/>
        <w:jc w:val="both"/>
        <w:rPr>
          <w:rFonts w:cs="Arial"/>
          <w:lang w:val="el-GR"/>
        </w:rPr>
      </w:pPr>
      <w:r w:rsidRPr="0068790F">
        <w:rPr>
          <w:rFonts w:cs="Arial"/>
          <w:lang w:val="el-GR"/>
        </w:rPr>
        <w:t>Απόρριψη των αρχικών 5-10</w:t>
      </w:r>
      <w:r w:rsidRPr="0068790F">
        <w:rPr>
          <w:rFonts w:cs="Arial"/>
        </w:rPr>
        <w:t>cc</w:t>
      </w:r>
      <w:r w:rsidRPr="0068790F">
        <w:rPr>
          <w:rFonts w:cs="Arial"/>
          <w:lang w:val="el-GR"/>
        </w:rPr>
        <w:t xml:space="preserve"> και συλλογή των επόμενων 5-10</w:t>
      </w:r>
      <w:r w:rsidRPr="0068790F">
        <w:rPr>
          <w:rFonts w:cs="Arial"/>
        </w:rPr>
        <w:t>cc</w:t>
      </w:r>
      <w:r w:rsidRPr="0068790F">
        <w:rPr>
          <w:rFonts w:cs="Arial"/>
          <w:lang w:val="el-GR"/>
        </w:rPr>
        <w:t xml:space="preserve"> (μέσο ρεύμα ούρησης) χωρίς η ούρηση να διακοπεί</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Σε γυναίκα:</w:t>
      </w:r>
    </w:p>
    <w:p w:rsidR="0068790F" w:rsidRPr="0068790F" w:rsidRDefault="0068790F" w:rsidP="0068790F">
      <w:pPr>
        <w:pStyle w:val="a4"/>
        <w:numPr>
          <w:ilvl w:val="2"/>
          <w:numId w:val="43"/>
        </w:numPr>
        <w:spacing w:after="0" w:line="240" w:lineRule="auto"/>
        <w:ind w:left="1276"/>
        <w:jc w:val="both"/>
        <w:rPr>
          <w:rFonts w:cs="Arial"/>
        </w:rPr>
      </w:pPr>
      <w:r w:rsidRPr="0068790F">
        <w:rPr>
          <w:rFonts w:cs="Arial"/>
        </w:rPr>
        <w:t>Σχολαστικό πλύσιμο χεριών</w:t>
      </w:r>
    </w:p>
    <w:p w:rsidR="0068790F" w:rsidRPr="00F31876" w:rsidRDefault="0068790F" w:rsidP="0068790F">
      <w:pPr>
        <w:pStyle w:val="a4"/>
        <w:numPr>
          <w:ilvl w:val="2"/>
          <w:numId w:val="43"/>
        </w:numPr>
        <w:ind w:left="1276"/>
        <w:jc w:val="both"/>
        <w:rPr>
          <w:rFonts w:cs="Arial"/>
          <w:lang w:val="el-GR"/>
        </w:rPr>
      </w:pPr>
      <w:r w:rsidRPr="0068790F">
        <w:rPr>
          <w:rFonts w:cs="Arial"/>
          <w:lang w:val="el-GR"/>
        </w:rPr>
        <w:t xml:space="preserve">Καλός καθαρισμός των έξω γεννητικών οργάνων με σαπούνι και νερό (όχι αντισηπτικά διαλύματα). </w:t>
      </w:r>
      <w:r w:rsidRPr="00F31876">
        <w:rPr>
          <w:rFonts w:cs="Arial"/>
          <w:lang w:val="el-GR"/>
        </w:rPr>
        <w:t>Προσεκτικό σκούπισμα με καθαρή πετσέτα</w:t>
      </w:r>
    </w:p>
    <w:p w:rsidR="0068790F" w:rsidRPr="0068790F" w:rsidRDefault="0068790F" w:rsidP="0068790F">
      <w:pPr>
        <w:pStyle w:val="a4"/>
        <w:numPr>
          <w:ilvl w:val="2"/>
          <w:numId w:val="43"/>
        </w:numPr>
        <w:ind w:left="1276"/>
        <w:jc w:val="both"/>
        <w:rPr>
          <w:rFonts w:cs="Arial"/>
          <w:lang w:val="el-GR"/>
        </w:rPr>
      </w:pPr>
      <w:r w:rsidRPr="0068790F">
        <w:rPr>
          <w:rFonts w:cs="Arial"/>
          <w:lang w:val="el-GR"/>
        </w:rPr>
        <w:t>Διατήρηση καλά ανοιχτών των μικρών χειλέων του αιδοίου καθ’ όλη τη διάρκεια της ούρησης</w:t>
      </w:r>
    </w:p>
    <w:p w:rsidR="0068790F" w:rsidRPr="0068790F" w:rsidRDefault="0068790F" w:rsidP="0068790F">
      <w:pPr>
        <w:pStyle w:val="a4"/>
        <w:numPr>
          <w:ilvl w:val="2"/>
          <w:numId w:val="43"/>
        </w:numPr>
        <w:ind w:left="1276"/>
        <w:jc w:val="both"/>
        <w:rPr>
          <w:rFonts w:cs="Arial"/>
          <w:lang w:val="el-GR"/>
        </w:rPr>
      </w:pPr>
      <w:r w:rsidRPr="0068790F">
        <w:rPr>
          <w:rFonts w:cs="Arial"/>
          <w:lang w:val="el-GR"/>
        </w:rPr>
        <w:t>Απόρριψη των αρχικών 5-10</w:t>
      </w:r>
      <w:r w:rsidRPr="0068790F">
        <w:rPr>
          <w:rFonts w:cs="Arial"/>
        </w:rPr>
        <w:t>cc</w:t>
      </w:r>
      <w:r w:rsidRPr="0068790F">
        <w:rPr>
          <w:rFonts w:cs="Arial"/>
          <w:lang w:val="el-GR"/>
        </w:rPr>
        <w:t xml:space="preserve"> και συλλογή των επόμενων 5-10</w:t>
      </w:r>
      <w:r w:rsidRPr="0068790F">
        <w:rPr>
          <w:rFonts w:cs="Arial"/>
        </w:rPr>
        <w:t>cc</w:t>
      </w:r>
      <w:r w:rsidRPr="0068790F">
        <w:rPr>
          <w:rFonts w:cs="Arial"/>
          <w:lang w:val="el-GR"/>
        </w:rPr>
        <w:t xml:space="preserve"> (μέσο ρεύμα ούρησης) χωρίς η ούρηση να διακοπεί</w:t>
      </w:r>
    </w:p>
    <w:p w:rsidR="0068790F" w:rsidRPr="0068790F" w:rsidRDefault="0068790F" w:rsidP="0068790F">
      <w:pPr>
        <w:pStyle w:val="a4"/>
        <w:ind w:left="1276"/>
        <w:jc w:val="both"/>
        <w:rPr>
          <w:rFonts w:cs="Arial"/>
          <w:lang w:val="el-GR"/>
        </w:rPr>
      </w:pPr>
    </w:p>
    <w:p w:rsidR="0068790F" w:rsidRPr="0068790F" w:rsidRDefault="0068790F" w:rsidP="0068790F">
      <w:pPr>
        <w:pStyle w:val="a4"/>
        <w:numPr>
          <w:ilvl w:val="0"/>
          <w:numId w:val="42"/>
        </w:numPr>
        <w:spacing w:after="0" w:line="240" w:lineRule="auto"/>
        <w:ind w:left="426"/>
        <w:jc w:val="both"/>
        <w:rPr>
          <w:rFonts w:cs="Arial"/>
          <w:b/>
          <w:lang w:val="el-GR"/>
        </w:rPr>
      </w:pPr>
      <w:r w:rsidRPr="0068790F">
        <w:rPr>
          <w:rFonts w:cs="Arial"/>
          <w:b/>
          <w:lang w:val="el-GR"/>
        </w:rPr>
        <w:t>Πως γίνεται η λήψη δείγματος ούρων για καλλιέργεια από καθετήρα ουροδόχου κύστεως;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Κλείνουμε τον αυλό του καθετήρα για 15 λεπτά με μια λαβίδα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Καθαρίζουμε τον καθετήρα πάνω από τη λαβίδα με γάζα εμποτισμένη σε αντισηπτικό (Πιθανά στο σημείο σύνδεσης του ουροσυλλέκτη με τον καθετήρα να υπάρχει ειδικό σημείο παρακέντησης για λήψη δείγματος, ανάλογα με το είδος)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Παρακεντούμε με σύριγγα και αφαιρούμε 4-5</w:t>
      </w:r>
      <w:r w:rsidRPr="0068790F">
        <w:rPr>
          <w:rFonts w:cs="Arial"/>
        </w:rPr>
        <w:t>ml</w:t>
      </w:r>
      <w:r w:rsidRPr="0068790F">
        <w:rPr>
          <w:rFonts w:cs="Arial"/>
          <w:lang w:val="el-GR"/>
        </w:rPr>
        <w:t xml:space="preserve"> ούρων</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Δεν λαμβάνονται ποτέ ούρα για καλλιέργεια από τον ουροσυλλέκτη, σε ασθενή με ουροκαθετήρα</w:t>
      </w:r>
    </w:p>
    <w:p w:rsidR="0068790F" w:rsidRPr="0068790F" w:rsidRDefault="0068790F" w:rsidP="0068790F">
      <w:pPr>
        <w:spacing w:after="0" w:line="240" w:lineRule="auto"/>
        <w:jc w:val="both"/>
        <w:rPr>
          <w:rFonts w:cs="Arial"/>
          <w:lang w:val="el-GR"/>
        </w:rPr>
      </w:pPr>
    </w:p>
    <w:p w:rsidR="0068790F" w:rsidRPr="0068790F" w:rsidRDefault="0068790F" w:rsidP="0068790F">
      <w:pPr>
        <w:numPr>
          <w:ilvl w:val="0"/>
          <w:numId w:val="42"/>
        </w:numPr>
        <w:spacing w:after="0" w:line="240" w:lineRule="auto"/>
        <w:jc w:val="both"/>
        <w:rPr>
          <w:rFonts w:cs="Arial"/>
          <w:b/>
          <w:lang w:val="el-GR"/>
        </w:rPr>
      </w:pPr>
      <w:r w:rsidRPr="0068790F">
        <w:rPr>
          <w:rFonts w:cs="Arial"/>
          <w:b/>
          <w:lang w:val="el-GR"/>
        </w:rPr>
        <w:t>Για ποιο λόγο γίνονται πλύσεις ουροδόχου κύστεως;</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Για τον έλεγχο, την πρόληψη ή την αποκατάσταση της απόφραξης του αυλού του ουροκαθετήρα</w:t>
      </w:r>
    </w:p>
    <w:p w:rsidR="0068790F" w:rsidRPr="0068790F" w:rsidRDefault="0068790F" w:rsidP="0068790F">
      <w:pPr>
        <w:pStyle w:val="a4"/>
        <w:numPr>
          <w:ilvl w:val="1"/>
          <w:numId w:val="43"/>
        </w:numPr>
        <w:spacing w:after="0" w:line="240" w:lineRule="auto"/>
        <w:ind w:left="709" w:hanging="283"/>
        <w:jc w:val="both"/>
        <w:rPr>
          <w:rFonts w:cs="Arial"/>
          <w:lang w:val="el-GR"/>
        </w:rPr>
      </w:pPr>
      <w:r w:rsidRPr="0068790F">
        <w:rPr>
          <w:rFonts w:cs="Arial"/>
          <w:lang w:val="el-GR"/>
        </w:rPr>
        <w:t>Για την λύση και παροχέτευση μεγάλων θρόμβων, κρυστάλλων ή ιζημάτων</w:t>
      </w:r>
    </w:p>
    <w:p w:rsidR="0068790F" w:rsidRPr="0068790F" w:rsidRDefault="0068790F" w:rsidP="0068790F">
      <w:pPr>
        <w:pStyle w:val="a4"/>
        <w:numPr>
          <w:ilvl w:val="1"/>
          <w:numId w:val="43"/>
        </w:numPr>
        <w:spacing w:after="0" w:line="240" w:lineRule="auto"/>
        <w:ind w:left="709" w:hanging="283"/>
        <w:jc w:val="both"/>
        <w:rPr>
          <w:rFonts w:cs="Arial"/>
        </w:rPr>
      </w:pPr>
      <w:r w:rsidRPr="0068790F">
        <w:rPr>
          <w:rFonts w:cs="Arial"/>
        </w:rPr>
        <w:t>Για την έγχυση φαρμάκου</w:t>
      </w:r>
    </w:p>
    <w:p w:rsidR="0068790F" w:rsidRPr="0068790F" w:rsidRDefault="0068790F">
      <w:pPr>
        <w:rPr>
          <w:rFonts w:cs="Arial"/>
        </w:rPr>
      </w:pPr>
    </w:p>
    <w:p w:rsidR="00FA5B2E" w:rsidRDefault="00FA5B2E">
      <w:r>
        <w:rPr>
          <w:lang w:val="el-GR"/>
        </w:rPr>
        <w:t>Παρακολουθήστε το παρακάτω βίντεο</w:t>
      </w:r>
      <w:r>
        <w:t>:</w:t>
      </w:r>
    </w:p>
    <w:p w:rsidR="0068790F" w:rsidRPr="00FA5B2E" w:rsidRDefault="00FA5B2E">
      <w:pPr>
        <w:rPr>
          <w:lang w:val="el-GR"/>
        </w:rPr>
      </w:pPr>
      <w:r>
        <w:rPr>
          <w:noProof/>
          <w:lang w:val="el-GR" w:eastAsia="el-GR" w:bidi="ar-SA"/>
        </w:rPr>
        <w:drawing>
          <wp:inline distT="0" distB="0" distL="0" distR="0">
            <wp:extent cx="264160" cy="264160"/>
            <wp:effectExtent l="0" t="0" r="2540" b="2540"/>
            <wp:docPr id="1" name="Εικόνα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Video-Film2-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inline>
        </w:drawing>
      </w:r>
      <w:r w:rsidRPr="00FA5B2E">
        <w:rPr>
          <w:lang w:val="el-GR"/>
        </w:rPr>
        <w:t xml:space="preserve"> </w:t>
      </w:r>
      <w:hyperlink r:id="rId15" w:history="1">
        <w:r w:rsidRPr="00FA5B2E">
          <w:rPr>
            <w:rStyle w:val="-"/>
            <w:lang w:val="el-GR"/>
          </w:rPr>
          <w:t>Εισαγωγή καθετήρα ουροδόχου κύστης σε γυναίκα</w:t>
        </w:r>
      </w:hyperlink>
      <w:r w:rsidR="0068790F" w:rsidRPr="00FA5B2E">
        <w:rPr>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17CBA"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8790F" w:rsidRDefault="0068790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xml:space="preserve">, 2014.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EF36DF">
        <w:rPr>
          <w:rFonts w:asciiTheme="minorHAnsi" w:hAnsiTheme="minorHAnsi"/>
          <w:color w:val="1F497D" w:themeColor="text2"/>
          <w:lang w:val="el-GR"/>
        </w:rPr>
        <w:t xml:space="preserve">Παθολογική και Χειρουργική </w:t>
      </w:r>
      <w:r w:rsidR="00F31876">
        <w:rPr>
          <w:rFonts w:asciiTheme="minorHAnsi" w:hAnsiTheme="minorHAnsi"/>
          <w:color w:val="1F497D" w:themeColor="text2"/>
          <w:lang w:val="el-GR"/>
        </w:rPr>
        <w:t xml:space="preserve">Νοσηλευτική </w:t>
      </w:r>
      <w:r w:rsidR="00EF36DF">
        <w:rPr>
          <w:rFonts w:asciiTheme="minorHAnsi" w:hAnsiTheme="minorHAnsi"/>
          <w:color w:val="1F497D" w:themeColor="text2"/>
          <w:lang w:val="el-GR"/>
        </w:rPr>
        <w:t>ΙΙ (Ε)</w:t>
      </w:r>
      <w:r w:rsidRPr="000023C0">
        <w:rPr>
          <w:rFonts w:asciiTheme="minorHAnsi" w:hAnsiTheme="minorHAnsi"/>
          <w:color w:val="1F497D" w:themeColor="text2"/>
          <w:lang w:val="el-GR"/>
        </w:rPr>
        <w:t xml:space="preserve">. </w:t>
      </w:r>
      <w:r w:rsidR="00F2459B">
        <w:rPr>
          <w:rFonts w:asciiTheme="minorHAnsi" w:hAnsiTheme="minorHAnsi"/>
          <w:color w:val="1F497D" w:themeColor="text2"/>
          <w:lang w:val="el-GR"/>
        </w:rPr>
        <w:t>Ενότητα 3</w:t>
      </w:r>
      <w:r w:rsidR="00670635" w:rsidRPr="00670635">
        <w:rPr>
          <w:rFonts w:asciiTheme="minorHAnsi" w:hAnsiTheme="minorHAnsi"/>
          <w:color w:val="1F497D" w:themeColor="text2"/>
          <w:lang w:val="el-GR"/>
        </w:rPr>
        <w:t xml:space="preserve">: </w:t>
      </w:r>
      <w:r w:rsidR="00F2459B" w:rsidRPr="00F2459B">
        <w:rPr>
          <w:rFonts w:asciiTheme="minorHAnsi" w:hAnsiTheme="minorHAnsi"/>
          <w:color w:val="1F497D" w:themeColor="text2"/>
          <w:lang w:val="el-GR"/>
        </w:rPr>
        <w:t>Εισαγωγή Ουροκαθετήρα – Ερωτήσεις Εργαστηρίου</w:t>
      </w:r>
      <w:r w:rsidRPr="00622D8C">
        <w:rPr>
          <w:rFonts w:asciiTheme="minorHAnsi" w:hAnsiTheme="minorHAnsi"/>
          <w:lang w:val="el-GR"/>
        </w:rPr>
        <w:t xml:space="preserve">». Έκδοση: 1.0. Αθήνα 2014. Διαθέσιμο από τη δικτυακή διεύθυνση: </w:t>
      </w:r>
      <w:hyperlink r:id="rId16"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F31876" w:rsidRDefault="00F31876" w:rsidP="00A36113">
      <w:pPr>
        <w:pStyle w:val="a4"/>
        <w:rPr>
          <w:rFonts w:asciiTheme="minorHAnsi" w:hAnsiTheme="minorHAnsi"/>
          <w:lang w:val="el-GR"/>
        </w:rPr>
      </w:pPr>
      <w:r>
        <w:rPr>
          <w:rFonts w:asciiTheme="minorHAnsi" w:hAnsiTheme="minorHAnsi"/>
          <w:lang w:val="el-GR"/>
        </w:rPr>
        <w:br w:type="page"/>
      </w:r>
    </w:p>
    <w:p w:rsidR="00F31876" w:rsidRPr="00794F0C" w:rsidRDefault="00F31876" w:rsidP="00F31876">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F31876" w:rsidRDefault="00F31876" w:rsidP="00F31876">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F31876" w:rsidRPr="00517CBA" w:rsidTr="009F00F7">
        <w:tc>
          <w:tcPr>
            <w:tcW w:w="2093" w:type="dxa"/>
          </w:tcPr>
          <w:p w:rsidR="00F31876" w:rsidRPr="00021A16" w:rsidRDefault="00F31876"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F31876" w:rsidRDefault="00F31876"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F31876" w:rsidRPr="00517CBA" w:rsidTr="009F00F7">
        <w:tc>
          <w:tcPr>
            <w:tcW w:w="2093" w:type="dxa"/>
          </w:tcPr>
          <w:p w:rsidR="00F31876" w:rsidRDefault="00F31876"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F31876" w:rsidRDefault="00F31876"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F31876" w:rsidRPr="00517CBA" w:rsidTr="009F00F7">
        <w:tc>
          <w:tcPr>
            <w:tcW w:w="2093" w:type="dxa"/>
          </w:tcPr>
          <w:p w:rsidR="00F31876" w:rsidRDefault="00F31876"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F31876" w:rsidRDefault="00F31876"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F31876" w:rsidTr="009F00F7">
        <w:tc>
          <w:tcPr>
            <w:tcW w:w="2093" w:type="dxa"/>
          </w:tcPr>
          <w:p w:rsidR="00F31876" w:rsidRDefault="00F31876"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F31876" w:rsidRDefault="00F31876"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F31876" w:rsidTr="009F00F7">
        <w:tc>
          <w:tcPr>
            <w:tcW w:w="2093" w:type="dxa"/>
          </w:tcPr>
          <w:p w:rsidR="00F31876" w:rsidRDefault="00F31876"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F31876" w:rsidRDefault="00F31876"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F31876" w:rsidTr="009F00F7">
        <w:tc>
          <w:tcPr>
            <w:tcW w:w="2093" w:type="dxa"/>
          </w:tcPr>
          <w:p w:rsidR="00F31876" w:rsidRDefault="00F31876"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F31876" w:rsidRDefault="00F31876"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F31876" w:rsidRPr="00517CBA" w:rsidTr="009F00F7">
        <w:tc>
          <w:tcPr>
            <w:tcW w:w="2093" w:type="dxa"/>
          </w:tcPr>
          <w:p w:rsidR="00F31876" w:rsidRDefault="00F31876"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F31876" w:rsidRDefault="00F31876"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F31876" w:rsidRPr="00517CBA" w:rsidTr="009F00F7">
        <w:tc>
          <w:tcPr>
            <w:tcW w:w="2093" w:type="dxa"/>
          </w:tcPr>
          <w:p w:rsidR="00F31876" w:rsidRDefault="00F31876"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F31876" w:rsidRDefault="00F31876"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31876" w:rsidRPr="00517CBA" w:rsidTr="009F00F7">
        <w:tc>
          <w:tcPr>
            <w:tcW w:w="2093" w:type="dxa"/>
          </w:tcPr>
          <w:p w:rsidR="00F31876" w:rsidRDefault="00F31876"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F31876" w:rsidRDefault="00F31876"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31876" w:rsidRPr="00517CBA" w:rsidTr="009F00F7">
        <w:tc>
          <w:tcPr>
            <w:tcW w:w="2093" w:type="dxa"/>
          </w:tcPr>
          <w:p w:rsidR="00F31876" w:rsidRDefault="00F31876"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F31876" w:rsidRDefault="00F31876"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F31876" w:rsidRPr="00794F0C" w:rsidRDefault="00F31876" w:rsidP="00F31876">
      <w:pPr>
        <w:rPr>
          <w:rFonts w:asciiTheme="minorHAnsi" w:hAnsiTheme="minorHAnsi"/>
          <w:lang w:val="el-GR"/>
        </w:rPr>
      </w:pPr>
    </w:p>
    <w:p w:rsidR="00F31876" w:rsidRDefault="00F31876" w:rsidP="00F31876">
      <w:pPr>
        <w:rPr>
          <w:rFonts w:asciiTheme="minorHAnsi" w:eastAsia="Times New Roman" w:hAnsiTheme="minorHAnsi" w:cs="Times New Roman"/>
          <w:b/>
          <w:sz w:val="24"/>
          <w:szCs w:val="32"/>
          <w:lang w:val="el-GR"/>
        </w:rPr>
      </w:pPr>
    </w:p>
    <w:p w:rsidR="00F31876" w:rsidRPr="00A36113" w:rsidRDefault="00F31876" w:rsidP="00F31876">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F31876" w:rsidRPr="00A36113" w:rsidRDefault="00F31876" w:rsidP="00F31876">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F31876" w:rsidRPr="00A36113" w:rsidRDefault="00F31876" w:rsidP="00F31876">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F31876" w:rsidRPr="00A36113" w:rsidRDefault="00F31876" w:rsidP="00F31876">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F31876" w:rsidRPr="00A36113" w:rsidRDefault="00F31876" w:rsidP="00F31876">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F31876" w:rsidRPr="00A36113" w:rsidRDefault="00F31876" w:rsidP="00F31876">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A36113">
      <w:pPr>
        <w:pStyle w:val="a4"/>
        <w:rPr>
          <w:rFonts w:asciiTheme="minorHAnsi" w:hAnsiTheme="minorHAnsi"/>
          <w:lang w:val="el-GR"/>
        </w:rPr>
      </w:pPr>
    </w:p>
    <w:sectPr w:rsidR="00A36113" w:rsidRPr="00A36113"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17CBA">
          <w:rPr>
            <w:noProof/>
            <w:sz w:val="28"/>
            <w:szCs w:val="28"/>
          </w:rPr>
          <w:t>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4C9243B"/>
    <w:multiLevelType w:val="hybridMultilevel"/>
    <w:tmpl w:val="68003CC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01">
      <w:start w:val="1"/>
      <w:numFmt w:val="bullet"/>
      <w:lvlText w:val=""/>
      <w:lvlJc w:val="left"/>
      <w:pPr>
        <w:ind w:left="2160" w:hanging="180"/>
      </w:pPr>
      <w:rPr>
        <w:rFonts w:ascii="Symbol" w:hAnsi="Symbo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3B63E72"/>
    <w:multiLevelType w:val="hybridMultilevel"/>
    <w:tmpl w:val="9DE610AC"/>
    <w:lvl w:ilvl="0" w:tplc="0408000F">
      <w:start w:val="1"/>
      <w:numFmt w:val="decimal"/>
      <w:lvlText w:val="%1."/>
      <w:lvlJc w:val="left"/>
      <w:pPr>
        <w:ind w:left="36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1D56A7E"/>
    <w:multiLevelType w:val="hybridMultilevel"/>
    <w:tmpl w:val="59ACB2BA"/>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01">
      <w:start w:val="1"/>
      <w:numFmt w:val="bullet"/>
      <w:lvlText w:val=""/>
      <w:lvlJc w:val="left"/>
      <w:pPr>
        <w:ind w:left="2160" w:hanging="180"/>
      </w:pPr>
      <w:rPr>
        <w:rFonts w:ascii="Symbol" w:hAnsi="Symbo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E2753B9"/>
    <w:multiLevelType w:val="hybridMultilevel"/>
    <w:tmpl w:val="882C90A0"/>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6"/>
  </w:num>
  <w:num w:numId="7">
    <w:abstractNumId w:val="31"/>
  </w:num>
  <w:num w:numId="8">
    <w:abstractNumId w:val="7"/>
  </w:num>
  <w:num w:numId="9">
    <w:abstractNumId w:val="2"/>
  </w:num>
  <w:num w:numId="10">
    <w:abstractNumId w:val="13"/>
  </w:num>
  <w:num w:numId="11">
    <w:abstractNumId w:val="29"/>
  </w:num>
  <w:num w:numId="12">
    <w:abstractNumId w:val="3"/>
  </w:num>
  <w:num w:numId="13">
    <w:abstractNumId w:val="1"/>
  </w:num>
  <w:num w:numId="14">
    <w:abstractNumId w:val="6"/>
  </w:num>
  <w:num w:numId="15">
    <w:abstractNumId w:val="23"/>
  </w:num>
  <w:num w:numId="16">
    <w:abstractNumId w:val="16"/>
  </w:num>
  <w:num w:numId="17">
    <w:abstractNumId w:val="8"/>
  </w:num>
  <w:num w:numId="18">
    <w:abstractNumId w:val="38"/>
  </w:num>
  <w:num w:numId="19">
    <w:abstractNumId w:val="11"/>
  </w:num>
  <w:num w:numId="20">
    <w:abstractNumId w:val="34"/>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2"/>
  </w:num>
  <w:num w:numId="26">
    <w:abstractNumId w:val="32"/>
  </w:num>
  <w:num w:numId="27">
    <w:abstractNumId w:val="37"/>
  </w:num>
  <w:num w:numId="28">
    <w:abstractNumId w:val="4"/>
  </w:num>
  <w:num w:numId="29">
    <w:abstractNumId w:val="39"/>
  </w:num>
  <w:num w:numId="30">
    <w:abstractNumId w:val="33"/>
  </w:num>
  <w:num w:numId="31">
    <w:abstractNumId w:val="27"/>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15"/>
  </w:num>
  <w:num w:numId="43">
    <w:abstractNumId w:val="30"/>
  </w:num>
  <w:num w:numId="44">
    <w:abstractNumId w:val="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17CBA"/>
    <w:rsid w:val="005240A9"/>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8790F"/>
    <w:rsid w:val="006A41AD"/>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5111B"/>
    <w:rsid w:val="00890B02"/>
    <w:rsid w:val="0089231A"/>
    <w:rsid w:val="00892742"/>
    <w:rsid w:val="0089557D"/>
    <w:rsid w:val="008B711F"/>
    <w:rsid w:val="008C0A18"/>
    <w:rsid w:val="008D57A5"/>
    <w:rsid w:val="008E11E4"/>
    <w:rsid w:val="00910930"/>
    <w:rsid w:val="009119F3"/>
    <w:rsid w:val="009146EA"/>
    <w:rsid w:val="00924347"/>
    <w:rsid w:val="00952845"/>
    <w:rsid w:val="00976633"/>
    <w:rsid w:val="00983C0D"/>
    <w:rsid w:val="009A5D62"/>
    <w:rsid w:val="009D1D2E"/>
    <w:rsid w:val="009D2669"/>
    <w:rsid w:val="00A07F4D"/>
    <w:rsid w:val="00A123F0"/>
    <w:rsid w:val="00A26A14"/>
    <w:rsid w:val="00A36113"/>
    <w:rsid w:val="00A72BA7"/>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2459B"/>
    <w:rsid w:val="00F31876"/>
    <w:rsid w:val="00F652D1"/>
    <w:rsid w:val="00FA5B2E"/>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deo.noc.teiath.gr/?p=697" TargetMode="External"/><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video.noc.teiath.gr/?p=697"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A558-CB8D-4510-8E12-3F901DAB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1702</Words>
  <Characters>9193</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9</cp:revision>
  <dcterms:created xsi:type="dcterms:W3CDTF">2014-11-11T09:30:00Z</dcterms:created>
  <dcterms:modified xsi:type="dcterms:W3CDTF">2015-07-07T10:19:00Z</dcterms:modified>
</cp:coreProperties>
</file>