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3D1142" w:rsidRDefault="00C71C68" w:rsidP="00C71C68">
      <w:pPr>
        <w:rPr>
          <w:rFonts w:asciiTheme="minorHAnsi" w:hAnsiTheme="minorHAnsi" w:cs="Arial"/>
        </w:rPr>
      </w:pP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7E2CAA13" wp14:editId="12859916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3D1142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A4E8FF9" wp14:editId="22F61907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62AE5A7" wp14:editId="46B915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3D1142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3D1142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9410F0" w:rsidRDefault="00026B07" w:rsidP="00B3399D">
      <w:pPr>
        <w:pStyle w:val="Title"/>
        <w:rPr>
          <w:rFonts w:asciiTheme="minorHAnsi" w:hAnsiTheme="minorHAnsi" w:cs="Arial"/>
          <w:lang w:val="el-GR"/>
        </w:rPr>
      </w:pPr>
      <w:r w:rsidRPr="009410F0">
        <w:rPr>
          <w:rFonts w:asciiTheme="minorHAnsi" w:hAnsiTheme="minorHAnsi" w:cs="Arial"/>
          <w:lang w:val="el-GR"/>
        </w:rPr>
        <w:t xml:space="preserve">Πολεοδομία </w:t>
      </w:r>
      <w:r w:rsidR="009410F0" w:rsidRPr="009410F0">
        <w:rPr>
          <w:rFonts w:asciiTheme="minorHAnsi" w:hAnsiTheme="minorHAnsi" w:cs="Arial"/>
          <w:lang w:val="el-GR"/>
        </w:rPr>
        <w:t>(Ε)</w:t>
      </w:r>
    </w:p>
    <w:p w:rsidR="00B3399D" w:rsidRPr="003D1142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502D92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FA1BC7" w:rsidRPr="00502D92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="00B3399D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: </w:t>
      </w:r>
      <w:r w:rsidR="00CA6F29" w:rsidRPr="003D1142">
        <w:rPr>
          <w:rFonts w:asciiTheme="minorHAnsi" w:hAnsiTheme="minorHAnsi" w:cs="Arial"/>
          <w:bCs/>
          <w:sz w:val="24"/>
          <w:szCs w:val="24"/>
          <w:lang w:val="el-GR"/>
        </w:rPr>
        <w:t>Όροι δόμησης Ι</w:t>
      </w:r>
      <w:r w:rsidR="00EE6D01" w:rsidRPr="003D1142">
        <w:rPr>
          <w:rFonts w:asciiTheme="minorHAnsi" w:hAnsiTheme="minorHAnsi" w:cs="Arial"/>
          <w:bCs/>
          <w:sz w:val="24"/>
          <w:szCs w:val="24"/>
          <w:lang w:val="el-GR"/>
        </w:rPr>
        <w:t>Ι</w:t>
      </w:r>
      <w:r w:rsidR="00FA1BC7" w:rsidRPr="003D1142">
        <w:rPr>
          <w:rFonts w:asciiTheme="minorHAnsi" w:hAnsiTheme="minorHAnsi" w:cs="Arial"/>
          <w:bCs/>
          <w:sz w:val="24"/>
          <w:szCs w:val="24"/>
          <w:lang w:val="el-GR"/>
        </w:rPr>
        <w:t>Ι</w:t>
      </w:r>
    </w:p>
    <w:p w:rsidR="00B3399D" w:rsidRPr="003D1142" w:rsidRDefault="003E5AF8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54109C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54109C" w:rsidRPr="00C778A4" w:rsidRDefault="0054109C" w:rsidP="0054109C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3D1142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623EA" w:rsidRDefault="00797D0C" w:rsidP="00B3399D">
      <w:pPr>
        <w:rPr>
          <w:rFonts w:asciiTheme="minorHAnsi" w:hAnsiTheme="minorHAnsi" w:cs="Arial"/>
          <w:lang w:val="el-GR"/>
        </w:rPr>
      </w:pPr>
    </w:p>
    <w:p w:rsidR="00ED2E34" w:rsidRPr="006623EA" w:rsidRDefault="00ED2E34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3D1142" w:rsidRDefault="00EC5992" w:rsidP="00B3399D">
      <w:pPr>
        <w:rPr>
          <w:rFonts w:asciiTheme="minorHAnsi" w:hAnsiTheme="minorHAnsi" w:cs="Arial"/>
          <w:lang w:val="el-GR"/>
        </w:rPr>
      </w:pPr>
    </w:p>
    <w:p w:rsidR="00026B07" w:rsidRPr="003D1142" w:rsidRDefault="00026B07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93720F" w:rsidTr="009D1D2E">
        <w:trPr>
          <w:trHeight w:val="2124"/>
        </w:trPr>
        <w:tc>
          <w:tcPr>
            <w:tcW w:w="3369" w:type="dxa"/>
          </w:tcPr>
          <w:p w:rsidR="002C12EC" w:rsidRPr="003D1142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3D1142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5855287" wp14:editId="26BBD9B7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3D1142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3D1142">
              <w:rPr>
                <w:rFonts w:asciiTheme="minorHAnsi" w:hAnsiTheme="minorHAnsi" w:cs="Arial"/>
                <w:sz w:val="20"/>
              </w:rPr>
              <w:t>Creative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3D1142">
              <w:rPr>
                <w:rFonts w:asciiTheme="minorHAnsi" w:hAnsiTheme="minorHAnsi" w:cs="Arial"/>
                <w:sz w:val="20"/>
              </w:rPr>
              <w:t>Commons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3D1142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0F9BFEB3" wp14:editId="6E86DBD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3D1142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FC22D9" w:rsidTr="00AB2DA6">
        <w:tc>
          <w:tcPr>
            <w:tcW w:w="8613" w:type="dxa"/>
          </w:tcPr>
          <w:p w:rsidR="00FC22D9" w:rsidRPr="00D60CDB" w:rsidRDefault="00FC22D9" w:rsidP="00AB2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93720F" w:rsidTr="00662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FC22D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FC22D9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3D1142" w:rsidRDefault="003A7EEF" w:rsidP="00FA1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="00FA1BC7" w:rsidRPr="003D114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περαιτέρω εμβάθυνση και τελικά η εκμάθηση των εννοιών που εμπλέκονται με τους όρους και περιορισμούς δόμησης</w:t>
            </w: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RPr="003D1142" w:rsidTr="0066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FC22D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FC22D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3D1142" w:rsidRDefault="006623EA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l-GR" w:eastAsia="el-GR" w:bidi="ar-SA"/>
                  </w:rPr>
                  <m:t>150'</m:t>
                </m:r>
              </m:oMath>
            </m:oMathPara>
          </w:p>
        </w:tc>
      </w:tr>
      <w:tr w:rsidR="007A0072" w:rsidRPr="003D1142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FC22D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FC22D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Pr="003D1142" w:rsidRDefault="007A0072" w:rsidP="003A7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3A7EE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93720F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FC22D9" w:rsidRDefault="00FC22D9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Προαπαιτούμενα/</w:t>
            </w:r>
            <w:r w:rsidR="007A0072" w:rsidRPr="00FC22D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7A0072" w:rsidRPr="003D1142" w:rsidRDefault="00EE6D01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Απαραίτητη η γνώση των βασικών άρθρων του ΝΟΚ:  Ν. 4067/2012,  ΦΕΚ 79Α/9.4.2012.</w:t>
            </w:r>
          </w:p>
        </w:tc>
      </w:tr>
      <w:tr w:rsidR="007A0072" w:rsidRPr="0093720F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FC22D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FC22D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3D1142" w:rsidRDefault="004A29DA" w:rsidP="00EC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Παραδίδεται </w:t>
            </w:r>
            <w:r w:rsidR="00EC3283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στο τέλος του δίωρου εργαστηρίου</w:t>
            </w:r>
            <w:r w:rsidR="003A7EE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93720F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FC22D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FC22D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3D1142" w:rsidRDefault="00EC3283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αξιολόγηση θα βασιστεί στην ακρίβεια των απαντήσεων και στην πληρότητα της τεκμηρίωσής </w:t>
            </w:r>
            <w:r w:rsidR="003A7EE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τους.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Pr="003D1142" w:rsidRDefault="007A0072" w:rsidP="009E1BD3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8806" wp14:editId="0A4826D3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270980">
        <w:tc>
          <w:tcPr>
            <w:tcW w:w="8522" w:type="dxa"/>
            <w:shd w:val="clear" w:color="auto" w:fill="4F81BD" w:themeFill="accent1"/>
          </w:tcPr>
          <w:p w:rsidR="00270980" w:rsidRPr="003D1142" w:rsidRDefault="00EE6D01" w:rsidP="00FA1BC7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FA1BC7"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Θ</w:t>
            </w:r>
          </w:p>
        </w:tc>
      </w:tr>
      <w:tr w:rsidR="00270980" w:rsidRPr="003D1142" w:rsidTr="00FA1BC7">
        <w:trPr>
          <w:trHeight w:val="4464"/>
        </w:trPr>
        <w:tc>
          <w:tcPr>
            <w:tcW w:w="8522" w:type="dxa"/>
            <w:shd w:val="clear" w:color="auto" w:fill="F9F9F9"/>
          </w:tcPr>
          <w:p w:rsidR="00270980" w:rsidRPr="003D1142" w:rsidRDefault="00FA1BC7" w:rsidP="00FA1BC7">
            <w:pPr>
              <w:shd w:val="clear" w:color="auto" w:fill="F9F9F9"/>
              <w:spacing w:before="120"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ΔΙΔΟΝΤΑΙ πέντε οικόπεδα (Α, Β, Γ, Δ και Ε, σε διαφορετική περιοχή το καθένα) με γεωμετρικά χαρακτηριστικά και όρους δόμησης όπως στον πίνακα που ακολουθεί:</w:t>
            </w:r>
          </w:p>
          <w:tbl>
            <w:tblPr>
              <w:tblStyle w:val="MediumList2-Accent1"/>
              <w:tblW w:w="8241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1134"/>
              <w:gridCol w:w="1134"/>
              <w:gridCol w:w="1134"/>
              <w:gridCol w:w="1158"/>
            </w:tblGrid>
            <w:tr w:rsidR="00FA1BC7" w:rsidRPr="003D1142" w:rsidTr="00FA1B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Α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Β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Γ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Δ</w:t>
                  </w:r>
                </w:p>
              </w:tc>
              <w:tc>
                <w:tcPr>
                  <w:tcW w:w="11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Ε</w:t>
                  </w:r>
                </w:p>
              </w:tc>
            </w:tr>
            <w:tr w:rsidR="00FA1BC7" w:rsidRPr="003D1142" w:rsidTr="00FA1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1" w:type="dxa"/>
                  <w:gridSpan w:val="6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ΟΙΚΟΠΕΔΑ</w:t>
                  </w:r>
                </w:p>
              </w:tc>
            </w:tr>
            <w:tr w:rsidR="00FA1BC7" w:rsidRPr="003D1142" w:rsidTr="00FA1BC7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7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Εμβαδόν  (</w:t>
                  </w:r>
                  <w:proofErr w:type="spellStart"/>
                  <w:r w:rsidRPr="003D1142">
                    <w:rPr>
                      <w:rFonts w:asciiTheme="minorHAnsi" w:hAnsiTheme="minorHAnsi"/>
                      <w:szCs w:val="24"/>
                    </w:rPr>
                    <w:t>τ.μ</w:t>
                  </w:r>
                  <w:proofErr w:type="spellEnd"/>
                  <w:r w:rsidRPr="003D1142">
                    <w:rPr>
                      <w:rFonts w:asciiTheme="minorHAnsi" w:hAnsiTheme="minorHAnsi"/>
                      <w:szCs w:val="24"/>
                    </w:rPr>
                    <w:t>.)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240</w:t>
                  </w:r>
                </w:p>
              </w:tc>
              <w:tc>
                <w:tcPr>
                  <w:tcW w:w="1158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120</w:t>
                  </w:r>
                </w:p>
              </w:tc>
            </w:tr>
            <w:tr w:rsidR="00FA1BC7" w:rsidRPr="003D1142" w:rsidTr="00FA1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Προσώπου σε κοινόχρηστο χώρο (μ.)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16</w:t>
                  </w:r>
                </w:p>
              </w:tc>
              <w:tc>
                <w:tcPr>
                  <w:tcW w:w="11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12</w:t>
                  </w:r>
                </w:p>
              </w:tc>
            </w:tr>
            <w:tr w:rsidR="00FA1BC7" w:rsidRPr="003D1142" w:rsidTr="00FA1BC7">
              <w:trPr>
                <w:trHeight w:hRule="exact"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1" w:type="dxa"/>
                  <w:gridSpan w:val="6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ΟΡΟΙ ΔΟΜΗΣΗΣ</w:t>
                  </w:r>
                </w:p>
              </w:tc>
            </w:tr>
            <w:tr w:rsidR="00FA1BC7" w:rsidRPr="003D1142" w:rsidTr="00FA1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Αρτιότητα  (</w:t>
                  </w:r>
                  <w:proofErr w:type="spellStart"/>
                  <w:r w:rsidRPr="003D1142">
                    <w:rPr>
                      <w:rFonts w:asciiTheme="minorHAnsi" w:hAnsiTheme="minorHAnsi"/>
                      <w:szCs w:val="24"/>
                    </w:rPr>
                    <w:t>τ.μ</w:t>
                  </w:r>
                  <w:proofErr w:type="spellEnd"/>
                  <w:r w:rsidRPr="003D1142">
                    <w:rPr>
                      <w:rFonts w:asciiTheme="minorHAnsi" w:hAnsiTheme="minorHAnsi"/>
                      <w:szCs w:val="24"/>
                    </w:rPr>
                    <w:t>. – μ.)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500 - 30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400 - 25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300 - 20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200 - 15</w:t>
                  </w:r>
                </w:p>
              </w:tc>
              <w:tc>
                <w:tcPr>
                  <w:tcW w:w="11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100 - 10</w:t>
                  </w:r>
                </w:p>
              </w:tc>
            </w:tr>
            <w:tr w:rsidR="00FA1BC7" w:rsidRPr="003D1142" w:rsidTr="00FA1BC7">
              <w:trPr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7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Συντελεστής Δόμησης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0,8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1,4</w:t>
                  </w:r>
                </w:p>
              </w:tc>
              <w:tc>
                <w:tcPr>
                  <w:tcW w:w="1158" w:type="dxa"/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1,6</w:t>
                  </w:r>
                </w:p>
              </w:tc>
            </w:tr>
            <w:tr w:rsidR="00FA1BC7" w:rsidRPr="003D1142" w:rsidTr="00FA1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Ποσοστό Κάλυψης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pacing w:val="-10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pacing w:val="-10"/>
                      <w:szCs w:val="24"/>
                    </w:rPr>
                    <w:t>ως ΝΟΚ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30%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40%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pacing w:val="-10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pacing w:val="-10"/>
                      <w:szCs w:val="24"/>
                    </w:rPr>
                    <w:t>ως ΝΟΚ</w:t>
                  </w:r>
                </w:p>
              </w:tc>
              <w:tc>
                <w:tcPr>
                  <w:tcW w:w="11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FA1BC7" w:rsidRPr="003D1142" w:rsidRDefault="00FA1BC7" w:rsidP="00FA1BC7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tabs>
                      <w:tab w:val="left" w:pos="567"/>
                      <w:tab w:val="left" w:pos="1134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Cs w:val="24"/>
                    </w:rPr>
                  </w:pPr>
                  <w:r w:rsidRPr="003D1142">
                    <w:rPr>
                      <w:rFonts w:asciiTheme="minorHAnsi" w:hAnsiTheme="minorHAnsi"/>
                      <w:szCs w:val="24"/>
                    </w:rPr>
                    <w:t>50 %</w:t>
                  </w:r>
                </w:p>
              </w:tc>
            </w:tr>
          </w:tbl>
          <w:p w:rsidR="00FA1BC7" w:rsidRPr="003D1142" w:rsidRDefault="00FA1BC7" w:rsidP="00FA1BC7">
            <w:pPr>
              <w:shd w:val="clear" w:color="auto" w:fill="F9F9F9"/>
              <w:spacing w:line="276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</w:p>
        </w:tc>
      </w:tr>
      <w:tr w:rsidR="00270980" w:rsidRPr="0093720F" w:rsidTr="00270980">
        <w:tc>
          <w:tcPr>
            <w:tcW w:w="8522" w:type="dxa"/>
            <w:shd w:val="clear" w:color="auto" w:fill="F9F9F9"/>
          </w:tcPr>
          <w:p w:rsidR="00FA1BC7" w:rsidRPr="003D1142" w:rsidRDefault="00FA1BC7" w:rsidP="00FA1BC7">
            <w:pPr>
              <w:shd w:val="clear" w:color="auto" w:fill="F9F9F9"/>
              <w:spacing w:before="120" w:line="312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ΑΠΑΝΤΗΣΤΕ αιτιολογημένα στα ακόλουθα: </w:t>
            </w:r>
          </w:p>
          <w:p w:rsidR="00FA1BC7" w:rsidRPr="003D1142" w:rsidRDefault="00FA1BC7" w:rsidP="00BE697A">
            <w:pPr>
              <w:pStyle w:val="ListParagraph"/>
              <w:numPr>
                <w:ilvl w:val="0"/>
                <w:numId w:val="9"/>
              </w:numPr>
              <w:shd w:val="clear" w:color="auto" w:fill="F9F9F9"/>
              <w:spacing w:line="312" w:lineRule="auto"/>
              <w:ind w:left="426" w:hanging="426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Ποια είναι οι συνολική επιτρεπόμενη επιφάνεια δόμησης σε κάθε ένα από αυτά τα οικόπεδα;</w:t>
            </w:r>
          </w:p>
          <w:p w:rsidR="00FA1BC7" w:rsidRPr="003D1142" w:rsidRDefault="00FA1BC7" w:rsidP="00BE697A">
            <w:pPr>
              <w:pStyle w:val="ListParagraph"/>
              <w:numPr>
                <w:ilvl w:val="0"/>
                <w:numId w:val="9"/>
              </w:numPr>
              <w:shd w:val="clear" w:color="auto" w:fill="F9F9F9"/>
              <w:spacing w:line="312" w:lineRule="auto"/>
              <w:ind w:left="426" w:hanging="426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Ποια είναι η επιφάνεια τυπικού ορόφου και ποιος ο αριθμός των ορόφων, αν σε κάθε οικόπεδο χτιστεί (νόμιμα) το ψηλότερο κτήριο, με εξάντληση του ΣΔ.;</w:t>
            </w:r>
          </w:p>
          <w:p w:rsidR="00FA1BC7" w:rsidRPr="003D1142" w:rsidRDefault="00FA1BC7" w:rsidP="00BE697A">
            <w:pPr>
              <w:pStyle w:val="ListParagraph"/>
              <w:numPr>
                <w:ilvl w:val="0"/>
                <w:numId w:val="9"/>
              </w:numPr>
              <w:shd w:val="clear" w:color="auto" w:fill="F9F9F9"/>
              <w:spacing w:line="312" w:lineRule="auto"/>
              <w:ind w:left="426" w:hanging="426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Σ’ αυτήν την περίπτωση (του ψηλότερου κτηρίου), ποιά θα είναι η κάλυψη  και σε πιο υλοποιημένο ΠΚ θα αντιστοιχεί;</w:t>
            </w:r>
          </w:p>
          <w:p w:rsidR="00FA1BC7" w:rsidRPr="003D1142" w:rsidRDefault="00FA1BC7" w:rsidP="00BE697A">
            <w:pPr>
              <w:pStyle w:val="ListParagraph"/>
              <w:numPr>
                <w:ilvl w:val="0"/>
                <w:numId w:val="9"/>
              </w:numPr>
              <w:shd w:val="clear" w:color="auto" w:fill="F9F9F9"/>
              <w:spacing w:line="312" w:lineRule="auto"/>
              <w:ind w:left="426" w:hanging="426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Ποια είναι η επιφάνεια τυπικού ορόφου και ποιος ο αριθμός των ορόφων, αν σε κάθε οικόπεδο χτιστεί (νόμιμα) το χαμηλότερο κτήριο, με εξάντληση του ΣΔ.;</w:t>
            </w:r>
          </w:p>
          <w:p w:rsidR="00EE6D01" w:rsidRPr="003D1142" w:rsidRDefault="00FA1BC7" w:rsidP="00BE697A">
            <w:pPr>
              <w:pStyle w:val="ListParagraph"/>
              <w:numPr>
                <w:ilvl w:val="0"/>
                <w:numId w:val="9"/>
              </w:numPr>
              <w:shd w:val="clear" w:color="auto" w:fill="F9F9F9"/>
              <w:spacing w:line="312" w:lineRule="auto"/>
              <w:ind w:left="426" w:hanging="426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5.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ab/>
              <w:t xml:space="preserve">Σ’ αυτήν την περίπτωση (του χαμηλότερου κτηρίου), ποια θα είναι η κάλυψη  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και σε πιο υλοποιημένο ΠΚ θα αντιστοιχεί;</w:t>
            </w:r>
          </w:p>
        </w:tc>
      </w:tr>
    </w:tbl>
    <w:p w:rsidR="00EE6D01" w:rsidRPr="00B90F7D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B90F7D" w:rsidRPr="00B90F7D" w:rsidRDefault="00B90F7D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15142B">
        <w:tc>
          <w:tcPr>
            <w:tcW w:w="8522" w:type="dxa"/>
            <w:shd w:val="clear" w:color="auto" w:fill="4F81BD" w:themeFill="accent1"/>
          </w:tcPr>
          <w:p w:rsidR="00270980" w:rsidRPr="003D1142" w:rsidRDefault="00270980" w:rsidP="00FA1BC7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FA1BC7"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</w:p>
        </w:tc>
      </w:tr>
      <w:tr w:rsidR="00270980" w:rsidRPr="003D1142" w:rsidTr="0015142B">
        <w:tc>
          <w:tcPr>
            <w:tcW w:w="8522" w:type="dxa"/>
            <w:shd w:val="clear" w:color="auto" w:fill="F9F9F9"/>
          </w:tcPr>
          <w:p w:rsidR="00FA1BC7" w:rsidRPr="003D1142" w:rsidRDefault="00FA1BC7" w:rsidP="00FA1BC7">
            <w:p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Εργολάβος κτίζει κτήριο κατοικιών πάνω σε υποστυλώματα (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pilotis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),</w:t>
            </w:r>
          </w:p>
          <w:p w:rsidR="00FA1BC7" w:rsidRPr="003D1142" w:rsidRDefault="00FA1BC7" w:rsidP="00FA1BC7">
            <w:p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σε οικόπεδο 1.000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μέτρων,  σε περιοχή με ΣΔ = 2,6</w:t>
            </w:r>
          </w:p>
          <w:p w:rsidR="00FA1BC7" w:rsidRPr="003D1142" w:rsidRDefault="00FA1BC7" w:rsidP="00FA1BC7">
            <w:p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8% της συνολικής επιτρεπόμενης επιφάνειας δόμησης θα αποδοθεί στους κοινόχρηστους χώρους της πολυκατοικίας (κλιμακοστάσια κλπ.).</w:t>
            </w:r>
          </w:p>
          <w:p w:rsidR="00FA1BC7" w:rsidRPr="003D1142" w:rsidRDefault="00FA1BC7" w:rsidP="00FA1BC7">
            <w:p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Το κόστος κατασκευής ισούται με 1.000 €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 (και για το ισόγειο/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pilotis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που δεν έχει κατοικίες), </w:t>
            </w:r>
          </w:p>
          <w:p w:rsidR="00FA1BC7" w:rsidRPr="003D1142" w:rsidRDefault="00FA1BC7" w:rsidP="00FA1BC7">
            <w:p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ενώ ο εργολάβος θα έχει τη δυνατότητα να πουλήσει ως ακολούθως :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2.000 €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β΄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2.200 €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2.600 €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2.900 €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3.200 €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στ΄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όροφος: 3.500 €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FA1BC7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ζ΄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3.800 €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  <w:p w:rsidR="00270980" w:rsidRPr="003D1142" w:rsidRDefault="00FA1BC7" w:rsidP="003D1142">
            <w:pPr>
              <w:pStyle w:val="ListParagraph"/>
              <w:numPr>
                <w:ilvl w:val="0"/>
                <w:numId w:val="10"/>
              </w:numPr>
              <w:shd w:val="clear" w:color="auto" w:fill="F9F9F9"/>
              <w:spacing w:line="295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η΄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όροφος :  4.200 € /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μέτρο</w:t>
            </w:r>
          </w:p>
        </w:tc>
      </w:tr>
      <w:tr w:rsidR="00270980" w:rsidRPr="0093720F" w:rsidTr="0015142B">
        <w:tc>
          <w:tcPr>
            <w:tcW w:w="8522" w:type="dxa"/>
            <w:shd w:val="clear" w:color="auto" w:fill="F9F9F9"/>
          </w:tcPr>
          <w:p w:rsidR="00270980" w:rsidRPr="003D1142" w:rsidRDefault="003D1142" w:rsidP="003D1142">
            <w:pPr>
              <w:shd w:val="clear" w:color="auto" w:fill="F9F9F9"/>
              <w:spacing w:before="120" w:line="288" w:lineRule="auto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Αν δεν λάβετε υπόψη σας άλλα κόστη, να υπολογίσετε το κέρδος του εργολάβου, σε ένα σενάριο νόμιμης (και λογικής) δόμησης, το οποίο θα προτείνετε/ περιγράψετε πλήρως.</w:t>
            </w:r>
          </w:p>
        </w:tc>
      </w:tr>
    </w:tbl>
    <w:p w:rsidR="00270980" w:rsidRPr="003D1142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B3163F" w:rsidRPr="003D1142" w:rsidRDefault="00B3163F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CA6F29" w:rsidRPr="003D1142" w:rsidRDefault="00B3163F">
      <w:pPr>
        <w:rPr>
          <w:lang w:val="el-GR"/>
        </w:rPr>
      </w:pPr>
      <w:r w:rsidRPr="003D1142">
        <w:rPr>
          <w:lang w:val="el-GR"/>
        </w:rPr>
        <w:br w:type="page"/>
      </w: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CA6F29" w:rsidRPr="0093720F" w:rsidTr="00CA6F29">
        <w:tc>
          <w:tcPr>
            <w:tcW w:w="8522" w:type="dxa"/>
            <w:shd w:val="clear" w:color="auto" w:fill="F9F9F9"/>
          </w:tcPr>
          <w:p w:rsidR="00CA6F29" w:rsidRPr="003D1142" w:rsidRDefault="00CA6F29" w:rsidP="0015142B">
            <w:pPr>
              <w:spacing w:before="60" w:after="60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ΥΠΕΝΘΥΜΙΖΕΤΑΙ ότι  [Ν. 4067/2012,  ΦΕΚ 79Α/9.4.2012] :</w:t>
            </w:r>
          </w:p>
        </w:tc>
      </w:tr>
      <w:tr w:rsidR="00CA6F29" w:rsidRPr="0093720F" w:rsidTr="00CA6F29">
        <w:tc>
          <w:tcPr>
            <w:tcW w:w="8522" w:type="dxa"/>
            <w:shd w:val="clear" w:color="auto" w:fill="F9F9F9"/>
          </w:tcPr>
          <w:p w:rsidR="003D1142" w:rsidRPr="003D1142" w:rsidRDefault="00CA6F29" w:rsidP="003D1142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br w:type="page"/>
            </w:r>
            <w:r w:rsidR="003D1142" w:rsidRPr="003D114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Κάλυψη του οικοπέδου</w:t>
            </w:r>
            <w:r w:rsidR="003D1142"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είναι η επιφάνεια που ορίζεται πάνω σε οριζόντιο επίπεδο από τις προβολές όλων των περιγραμμάτων των κτιρίων του οικοπέδου, εξαιρουμένων … … ….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Ποσοστό κάλυψης του οικοπέδου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είναι ο λόγος της μέγιστης επιφάνειας που επιτρέπεται να καλυφθεί προς τη συνολική επιφάνεια του οικοπέδου.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Το ποσοστό κάλυψης του οικοπέδου δεν μπορεί να υπερβαίνει το 60%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της επιφάνειάς του.  Στην περίπτωση που δεν εξασφαλίζεται κάλυψη 120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το μέγιστο ποσοστό κάλυψης προσαυξάνεται έως τα 120 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εφόσον η κάλυψη δεν υπερβαίνει το 70% του οικοπέδου και το ισχύον ποσοστό κάλυψης.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Συντελεστής δόμησης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</w:t>
            </w:r>
            <w:proofErr w:type="spellStart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σ.δ</w:t>
            </w:r>
            <w:proofErr w:type="spellEnd"/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.) είναι ο αριθμός, ο οποίος πολλαπλασιαζόμενος με την επιφάνεια του οικοπέδου ή γηπέδου, δίνει τη συνολική επιτρεπόμενη επιφάνεια δόμησης. 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Το μέγιστο επιτρεπόμενο ύψος του κτιρίου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ορίζεται σε συνάρτηση με τον επιτρεπόμενο συντελεστή δόμησης της περιοχής ως εξής: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0,4 ύψος 10,75 μ.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0,8 ύψος 14,00 μ.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1,2 ύψος 17,25 μ.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1,6 ύψος 19,50 μ.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2,0 ύψος 22,75 μ.</w:t>
            </w:r>
          </w:p>
          <w:p w:rsidR="003D1142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2,4 ύψος 26,00 μ.</w:t>
            </w:r>
          </w:p>
          <w:p w:rsidR="00CA6F29" w:rsidRPr="003D1142" w:rsidRDefault="003D1142" w:rsidP="003D1142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2,4 και άνω, το δεκαπλάσιο του επιτρεπόμενου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3D114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συντελεστή με μέγιστο ύψος 32,00 μ..</w:t>
            </w:r>
          </w:p>
        </w:tc>
      </w:tr>
    </w:tbl>
    <w:p w:rsidR="00CA6F29" w:rsidRPr="003D1142" w:rsidRDefault="00CA6F29">
      <w:pPr>
        <w:rPr>
          <w:lang w:val="el-GR"/>
        </w:rPr>
      </w:pPr>
      <w:r w:rsidRPr="003D1142"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93720F" w:rsidTr="00EC5992">
        <w:trPr>
          <w:trHeight w:val="1516"/>
        </w:trPr>
        <w:tc>
          <w:tcPr>
            <w:tcW w:w="8612" w:type="dxa"/>
          </w:tcPr>
          <w:p w:rsidR="003C30BC" w:rsidRPr="00017E86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017E86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017E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017E86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017E86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3D1142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017E86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017E86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017E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017E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017E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3D1142" w:rsidTr="00EC5992">
        <w:trPr>
          <w:trHeight w:val="2592"/>
        </w:trPr>
        <w:tc>
          <w:tcPr>
            <w:tcW w:w="8612" w:type="dxa"/>
          </w:tcPr>
          <w:p w:rsidR="00EC5992" w:rsidRPr="00017E86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017E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3D1142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93720F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93720F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bookmarkStart w:id="0" w:name="_GoBack"/>
            <w:bookmarkEnd w:id="0"/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ΤΕΙ Αθήνας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3D1142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D061B90" wp14:editId="3E5C0B8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3D1142" w:rsidRDefault="003C30BC" w:rsidP="0040090D">
      <w:pPr>
        <w:spacing w:after="360"/>
        <w:rPr>
          <w:rFonts w:asciiTheme="minorHAnsi" w:eastAsia="Times New Roman" w:hAnsiTheme="minorHAnsi" w:cs="Times New Roman"/>
          <w:sz w:val="32"/>
          <w:szCs w:val="32"/>
          <w:lang w:val="el-GR"/>
        </w:rPr>
      </w:pPr>
    </w:p>
    <w:p w:rsidR="00622D8C" w:rsidRPr="00017E86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017E86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38605A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38605A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Copyright </w:t>
      </w:r>
      <w:r w:rsidR="00670635" w:rsidRPr="003D1142">
        <w:rPr>
          <w:rFonts w:asciiTheme="minorHAnsi" w:hAnsiTheme="minorHAnsi"/>
          <w:lang w:val="el-GR"/>
        </w:rPr>
        <w:t>ΤΕΙ Αθήνας</w:t>
      </w:r>
      <w:r w:rsidRPr="003D1142">
        <w:rPr>
          <w:rFonts w:asciiTheme="minorHAnsi" w:hAnsiTheme="minorHAnsi"/>
          <w:lang w:val="el-GR"/>
        </w:rPr>
        <w:t xml:space="preserve">,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 xml:space="preserve">, 2014.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>. «</w:t>
      </w:r>
      <w:r w:rsidR="003C30BC" w:rsidRPr="003D1142">
        <w:rPr>
          <w:rFonts w:asciiTheme="minorHAnsi" w:hAnsiTheme="minorHAnsi"/>
          <w:lang w:val="el-GR"/>
        </w:rPr>
        <w:t xml:space="preserve">Πολεοδομία </w:t>
      </w:r>
      <w:r w:rsidR="009410F0">
        <w:rPr>
          <w:rFonts w:asciiTheme="minorHAnsi" w:hAnsiTheme="minorHAnsi"/>
          <w:lang w:val="el-GR"/>
        </w:rPr>
        <w:t>(Ε)</w:t>
      </w:r>
      <w:r w:rsidRPr="003D1142">
        <w:rPr>
          <w:rFonts w:asciiTheme="minorHAnsi" w:hAnsiTheme="minorHAnsi"/>
          <w:lang w:val="el-GR"/>
        </w:rPr>
        <w:t xml:space="preserve"> </w:t>
      </w:r>
      <w:r w:rsidR="003C30BC" w:rsidRPr="003D1142">
        <w:rPr>
          <w:rFonts w:asciiTheme="minorHAnsi" w:hAnsiTheme="minorHAnsi"/>
          <w:lang w:val="el-GR"/>
        </w:rPr>
        <w:t>Άσκηση</w:t>
      </w:r>
      <w:r w:rsidR="00670635" w:rsidRPr="003D1142">
        <w:rPr>
          <w:rFonts w:asciiTheme="minorHAnsi" w:hAnsiTheme="minorHAnsi"/>
          <w:lang w:val="el-GR"/>
        </w:rPr>
        <w:t xml:space="preserve"> </w:t>
      </w:r>
      <w:r w:rsidR="00FA1BC7" w:rsidRPr="003D1142">
        <w:rPr>
          <w:rFonts w:asciiTheme="minorHAnsi" w:hAnsiTheme="minorHAnsi"/>
          <w:lang w:val="el-GR"/>
        </w:rPr>
        <w:t>5</w:t>
      </w:r>
      <w:r w:rsidR="00670635" w:rsidRPr="003D1142">
        <w:rPr>
          <w:rFonts w:asciiTheme="minorHAnsi" w:hAnsiTheme="minorHAnsi"/>
          <w:lang w:val="el-GR"/>
        </w:rPr>
        <w:t xml:space="preserve">: </w:t>
      </w:r>
      <w:r w:rsidR="00CA6F29" w:rsidRPr="003D1142">
        <w:rPr>
          <w:rFonts w:asciiTheme="minorHAnsi" w:hAnsiTheme="minorHAnsi"/>
          <w:lang w:val="el-GR"/>
        </w:rPr>
        <w:t>Όροι δόμησης Ι</w:t>
      </w:r>
      <w:r w:rsidR="00EE6D01" w:rsidRPr="003D1142">
        <w:rPr>
          <w:rFonts w:asciiTheme="minorHAnsi" w:hAnsiTheme="minorHAnsi"/>
          <w:lang w:val="el-GR"/>
        </w:rPr>
        <w:t>Ι</w:t>
      </w:r>
      <w:r w:rsidR="00FA1BC7" w:rsidRPr="003D1142">
        <w:rPr>
          <w:rFonts w:asciiTheme="minorHAnsi" w:hAnsiTheme="minorHAnsi"/>
          <w:lang w:val="el-GR"/>
        </w:rPr>
        <w:t>Ι</w:t>
      </w:r>
      <w:r w:rsidRPr="003D1142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3D1142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3D1142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3D1142" w:rsidRDefault="00622D8C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017E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017E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017E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3D1142">
        <w:rPr>
          <w:rFonts w:asciiTheme="minorHAnsi" w:hAnsiTheme="minorHAnsi"/>
          <w:lang w:val="el-GR"/>
        </w:rPr>
        <w:t>Creative</w:t>
      </w:r>
      <w:proofErr w:type="spellEnd"/>
      <w:r w:rsidRPr="003D1142">
        <w:rPr>
          <w:rFonts w:asciiTheme="minorHAnsi" w:hAnsiTheme="minorHAnsi"/>
          <w:lang w:val="el-GR"/>
        </w:rPr>
        <w:t xml:space="preserve"> </w:t>
      </w:r>
      <w:proofErr w:type="spellStart"/>
      <w:r w:rsidRPr="003D1142">
        <w:rPr>
          <w:rFonts w:asciiTheme="minorHAnsi" w:hAnsiTheme="minorHAnsi"/>
          <w:lang w:val="el-GR"/>
        </w:rPr>
        <w:t>Commons</w:t>
      </w:r>
      <w:proofErr w:type="spellEnd"/>
      <w:r w:rsidRPr="003D1142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3D1142">
        <w:rPr>
          <w:rFonts w:asciiTheme="minorHAnsi" w:hAnsiTheme="minorHAnsi"/>
          <w:lang w:val="el-GR"/>
        </w:rPr>
        <w:t>κ.λ.π</w:t>
      </w:r>
      <w:proofErr w:type="spellEnd"/>
      <w:r w:rsidRPr="003D1142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3D1142" w:rsidRDefault="00622D8C" w:rsidP="00622D8C">
      <w:pPr>
        <w:jc w:val="center"/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7615D51F" wp14:editId="3E9E0843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3D1142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017E86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017E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3D1142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9372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3D1142" w:rsidRDefault="00794F0C" w:rsidP="00622D8C">
      <w:pPr>
        <w:rPr>
          <w:rFonts w:asciiTheme="minorHAnsi" w:hAnsiTheme="minorHAnsi"/>
          <w:lang w:val="el-GR"/>
        </w:rPr>
      </w:pPr>
    </w:p>
    <w:p w:rsidR="00021A16" w:rsidRPr="003D1142" w:rsidRDefault="00021A16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017E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017E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3D1142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Αναφοράς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3D1142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3D1142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3D1142">
        <w:rPr>
          <w:rFonts w:asciiTheme="minorHAnsi" w:hAnsiTheme="minorHAnsi"/>
          <w:lang w:val="el-GR"/>
        </w:rPr>
        <w:t xml:space="preserve"> </w:t>
      </w:r>
      <w:r w:rsidR="00622D8C" w:rsidRPr="003D1142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3D1142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3D1142">
        <w:rPr>
          <w:rFonts w:asciiTheme="minorHAnsi" w:hAnsiTheme="minorHAnsi"/>
          <w:lang w:val="el-GR"/>
        </w:rPr>
        <w:t>.</w:t>
      </w:r>
    </w:p>
    <w:p w:rsidR="00B3399D" w:rsidRPr="003D1142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3D1142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93720F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6D445F"/>
    <w:multiLevelType w:val="hybridMultilevel"/>
    <w:tmpl w:val="82E070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B4061"/>
    <w:multiLevelType w:val="hybridMultilevel"/>
    <w:tmpl w:val="F27A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05688"/>
    <w:multiLevelType w:val="hybridMultilevel"/>
    <w:tmpl w:val="B2C8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E77728"/>
    <w:multiLevelType w:val="hybridMultilevel"/>
    <w:tmpl w:val="FB243034"/>
    <w:lvl w:ilvl="0" w:tplc="D10C5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17E86"/>
    <w:rsid w:val="00021A16"/>
    <w:rsid w:val="00026B07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63957"/>
    <w:rsid w:val="00270980"/>
    <w:rsid w:val="002962FE"/>
    <w:rsid w:val="002C12EC"/>
    <w:rsid w:val="003138D2"/>
    <w:rsid w:val="00330C19"/>
    <w:rsid w:val="0038605A"/>
    <w:rsid w:val="003A5263"/>
    <w:rsid w:val="003A7EEF"/>
    <w:rsid w:val="003C30BC"/>
    <w:rsid w:val="003D1142"/>
    <w:rsid w:val="003E19A4"/>
    <w:rsid w:val="003E5AF8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5C7F"/>
    <w:rsid w:val="004F6F1A"/>
    <w:rsid w:val="00502D92"/>
    <w:rsid w:val="0051708A"/>
    <w:rsid w:val="00524A80"/>
    <w:rsid w:val="00536A03"/>
    <w:rsid w:val="0054109C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23EA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0072"/>
    <w:rsid w:val="007A718D"/>
    <w:rsid w:val="007C14DB"/>
    <w:rsid w:val="00801848"/>
    <w:rsid w:val="00813B7B"/>
    <w:rsid w:val="00821A65"/>
    <w:rsid w:val="00831DD5"/>
    <w:rsid w:val="00877473"/>
    <w:rsid w:val="00890B02"/>
    <w:rsid w:val="0089231A"/>
    <w:rsid w:val="00892742"/>
    <w:rsid w:val="0089557D"/>
    <w:rsid w:val="008A3480"/>
    <w:rsid w:val="008B711F"/>
    <w:rsid w:val="008B73AC"/>
    <w:rsid w:val="008C0A18"/>
    <w:rsid w:val="008D57A5"/>
    <w:rsid w:val="008E11E4"/>
    <w:rsid w:val="00910930"/>
    <w:rsid w:val="009146EA"/>
    <w:rsid w:val="00924347"/>
    <w:rsid w:val="0093720F"/>
    <w:rsid w:val="009410F0"/>
    <w:rsid w:val="00952845"/>
    <w:rsid w:val="00952AB2"/>
    <w:rsid w:val="00976633"/>
    <w:rsid w:val="00983C0D"/>
    <w:rsid w:val="009A37DA"/>
    <w:rsid w:val="009A5D62"/>
    <w:rsid w:val="009D1D2E"/>
    <w:rsid w:val="009D2669"/>
    <w:rsid w:val="009E1BD3"/>
    <w:rsid w:val="00A07F4D"/>
    <w:rsid w:val="00A123F0"/>
    <w:rsid w:val="00A26A14"/>
    <w:rsid w:val="00A36113"/>
    <w:rsid w:val="00A96B59"/>
    <w:rsid w:val="00A97906"/>
    <w:rsid w:val="00AA6543"/>
    <w:rsid w:val="00AC1731"/>
    <w:rsid w:val="00AC2AAC"/>
    <w:rsid w:val="00AD5A3D"/>
    <w:rsid w:val="00AD7803"/>
    <w:rsid w:val="00AF62F6"/>
    <w:rsid w:val="00B03879"/>
    <w:rsid w:val="00B06000"/>
    <w:rsid w:val="00B23A6A"/>
    <w:rsid w:val="00B3163F"/>
    <w:rsid w:val="00B3399D"/>
    <w:rsid w:val="00B42635"/>
    <w:rsid w:val="00B44ABE"/>
    <w:rsid w:val="00B72F36"/>
    <w:rsid w:val="00B752AA"/>
    <w:rsid w:val="00B90F7D"/>
    <w:rsid w:val="00BD3346"/>
    <w:rsid w:val="00BE697A"/>
    <w:rsid w:val="00C326BF"/>
    <w:rsid w:val="00C457C1"/>
    <w:rsid w:val="00C51EFA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3283"/>
    <w:rsid w:val="00EC5992"/>
    <w:rsid w:val="00ED2E34"/>
    <w:rsid w:val="00EE047E"/>
    <w:rsid w:val="00EE172C"/>
    <w:rsid w:val="00EE6D01"/>
    <w:rsid w:val="00EF3AFC"/>
    <w:rsid w:val="00EF44D1"/>
    <w:rsid w:val="00F20A01"/>
    <w:rsid w:val="00F25361"/>
    <w:rsid w:val="00F652D1"/>
    <w:rsid w:val="00FA1BC7"/>
    <w:rsid w:val="00FC22D9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18F408-0BF5-4C4B-8F02-6476AE20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1240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5 Όροι δόμησης ΙΙΙ</dc:title>
  <dc:creator>opencourses@teiath.gr</dc:creator>
  <cp:lastModifiedBy>alex</cp:lastModifiedBy>
  <cp:revision>18</cp:revision>
  <dcterms:created xsi:type="dcterms:W3CDTF">2015-02-16T08:04:00Z</dcterms:created>
  <dcterms:modified xsi:type="dcterms:W3CDTF">2015-04-29T09:15:00Z</dcterms:modified>
</cp:coreProperties>
</file>