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w14:anchorId="24E8A27D"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C56287"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C56287">
        <w:rPr>
          <w:rFonts w:asciiTheme="minorHAnsi" w:hAnsiTheme="minorHAnsi" w:cs="Arial"/>
          <w:b/>
          <w:bCs/>
          <w:sz w:val="24"/>
          <w:szCs w:val="24"/>
          <w:lang w:val="el-GR"/>
        </w:rPr>
        <w:t>6</w:t>
      </w:r>
      <w:r w:rsidR="00B3399D" w:rsidRPr="00622D8C">
        <w:rPr>
          <w:rFonts w:asciiTheme="minorHAnsi" w:hAnsiTheme="minorHAnsi" w:cs="Arial"/>
          <w:b/>
          <w:bCs/>
          <w:sz w:val="24"/>
          <w:szCs w:val="24"/>
          <w:lang w:val="el-GR"/>
        </w:rPr>
        <w:t xml:space="preserve">: </w:t>
      </w:r>
      <w:r w:rsidR="00C56287" w:rsidRPr="00C56287">
        <w:rPr>
          <w:rFonts w:asciiTheme="minorHAnsi" w:eastAsia="Times New Roman" w:hAnsiTheme="minorHAnsi" w:cs="Times New Roman"/>
          <w:color w:val="000000"/>
          <w:sz w:val="24"/>
          <w:szCs w:val="20"/>
          <w:lang w:val="el-GR" w:eastAsia="el-GR" w:bidi="ar-SA"/>
        </w:rPr>
        <w:t>Μέθοδοι ελέγχου των βιολογικών δραστών επίθεσης πλην του γενετικού ελέγχου και η αρχή της ολοκληρωμένης προστασίας</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125E6C"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lastRenderedPageBreak/>
        <w:t>Συνολικά, οι μέθοδοι ελέγχου των βιολογικών δραστών επίθεσης κατά των γεωργικών καλλιεργειών είναι πέντε, συμπεριλαμβανομένης της περιπτώσεως του γενετικού ελέγχου, που έχει ήδη επισημανθεί. Αναφέρονται με την εξής σειρά</w:t>
      </w:r>
      <w:r w:rsidRPr="00C56287">
        <w:rPr>
          <w:rFonts w:asciiTheme="minorHAnsi" w:hAnsiTheme="minorHAnsi"/>
          <w:sz w:val="24"/>
          <w:vertAlign w:val="superscript"/>
          <w:lang w:val="el-GR"/>
        </w:rPr>
        <w:footnoteReference w:id="1"/>
      </w:r>
      <w:r w:rsidRPr="00C56287">
        <w:rPr>
          <w:rFonts w:asciiTheme="minorHAnsi" w:hAnsiTheme="minorHAnsi"/>
          <w:sz w:val="24"/>
          <w:lang w:val="el-GR"/>
        </w:rPr>
        <w:t xml:space="preserve">: </w:t>
      </w:r>
    </w:p>
    <w:p w:rsidR="00C56287" w:rsidRPr="00C56287" w:rsidRDefault="00C56287" w:rsidP="00C56287">
      <w:pPr>
        <w:numPr>
          <w:ilvl w:val="0"/>
          <w:numId w:val="44"/>
        </w:numPr>
        <w:spacing w:after="120" w:line="360" w:lineRule="auto"/>
        <w:jc w:val="both"/>
        <w:rPr>
          <w:rFonts w:asciiTheme="minorHAnsi" w:hAnsiTheme="minorHAnsi"/>
          <w:sz w:val="24"/>
          <w:lang w:val="el-GR"/>
        </w:rPr>
      </w:pPr>
      <w:r w:rsidRPr="00C56287">
        <w:rPr>
          <w:rFonts w:asciiTheme="minorHAnsi" w:hAnsiTheme="minorHAnsi"/>
          <w:i/>
          <w:sz w:val="24"/>
          <w:lang w:val="el-GR"/>
        </w:rPr>
        <w:t>Ο χημικός αγώνας</w:t>
      </w:r>
      <w:r w:rsidRPr="00C56287">
        <w:rPr>
          <w:rFonts w:asciiTheme="minorHAnsi" w:hAnsiTheme="minorHAnsi"/>
          <w:sz w:val="24"/>
          <w:lang w:val="el-GR"/>
        </w:rPr>
        <w:t xml:space="preserve">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Μεθοδεύεται με παρασιτοκτόνα της χημείας, π.χ. ζιζανιοκτόνα, εντομοκτόνα.</w:t>
      </w:r>
    </w:p>
    <w:p w:rsidR="00C56287" w:rsidRPr="00C56287" w:rsidRDefault="00C56287" w:rsidP="00C56287">
      <w:pPr>
        <w:numPr>
          <w:ilvl w:val="0"/>
          <w:numId w:val="44"/>
        </w:numPr>
        <w:spacing w:after="120" w:line="360" w:lineRule="auto"/>
        <w:jc w:val="both"/>
        <w:rPr>
          <w:rFonts w:asciiTheme="minorHAnsi" w:hAnsiTheme="minorHAnsi"/>
          <w:sz w:val="24"/>
          <w:lang w:val="el-GR"/>
        </w:rPr>
      </w:pPr>
      <w:r w:rsidRPr="00C56287">
        <w:rPr>
          <w:rFonts w:asciiTheme="minorHAnsi" w:hAnsiTheme="minorHAnsi"/>
          <w:i/>
          <w:sz w:val="24"/>
          <w:lang w:val="el-GR"/>
        </w:rPr>
        <w:t>Ο βιολογικός αγώνας</w:t>
      </w:r>
      <w:r w:rsidRPr="00C56287">
        <w:rPr>
          <w:rFonts w:asciiTheme="minorHAnsi" w:hAnsiTheme="minorHAnsi"/>
          <w:sz w:val="24"/>
          <w:lang w:val="el-GR"/>
        </w:rPr>
        <w:t xml:space="preserve">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Νοείται ως «</w:t>
      </w:r>
      <w:r w:rsidRPr="00C56287">
        <w:rPr>
          <w:rFonts w:asciiTheme="minorHAnsi" w:hAnsiTheme="minorHAnsi"/>
          <w:i/>
          <w:sz w:val="24"/>
          <w:lang w:val="el-GR"/>
        </w:rPr>
        <w:t>η χρήση έμβιων οργανισμών για την πρόληψη ή την ελάττωση των ζημιών που προκαλούνται από ολετήρες</w:t>
      </w:r>
      <w:r w:rsidRPr="00C56287">
        <w:rPr>
          <w:rFonts w:asciiTheme="minorHAnsi" w:hAnsiTheme="minorHAnsi"/>
          <w:sz w:val="24"/>
          <w:lang w:val="el-GR"/>
        </w:rPr>
        <w:t xml:space="preserve">», με όργανα του αγώνα: α. ένα </w:t>
      </w:r>
      <w:proofErr w:type="spellStart"/>
      <w:r w:rsidRPr="00C56287">
        <w:rPr>
          <w:rFonts w:asciiTheme="minorHAnsi" w:hAnsiTheme="minorHAnsi"/>
          <w:sz w:val="24"/>
          <w:lang w:val="el-GR"/>
        </w:rPr>
        <w:t>παρασιτοειδές</w:t>
      </w:r>
      <w:proofErr w:type="spellEnd"/>
      <w:r w:rsidRPr="00C56287">
        <w:rPr>
          <w:rFonts w:asciiTheme="minorHAnsi" w:hAnsiTheme="minorHAnsi"/>
          <w:sz w:val="24"/>
          <w:lang w:val="el-GR"/>
        </w:rPr>
        <w:t xml:space="preserve">, β. ένα αρπακτικό, γ. ένα παθογόνο όργανο (παθογόνο οργανισμό) όπως μανιτάρι, βακτήριο, ή πρωτόζωο, ή δ. έναν ανταγωνιστή του επίμαχου βιολογικού δράστη επίθεσης.   </w:t>
      </w:r>
    </w:p>
    <w:p w:rsidR="00C56287" w:rsidRPr="00C56287" w:rsidRDefault="00C56287" w:rsidP="00C56287">
      <w:pPr>
        <w:numPr>
          <w:ilvl w:val="0"/>
          <w:numId w:val="44"/>
        </w:numPr>
        <w:spacing w:after="120" w:line="360" w:lineRule="auto"/>
        <w:jc w:val="both"/>
        <w:rPr>
          <w:rFonts w:asciiTheme="minorHAnsi" w:hAnsiTheme="minorHAnsi"/>
          <w:i/>
          <w:sz w:val="24"/>
          <w:lang w:val="el-GR"/>
        </w:rPr>
      </w:pPr>
      <w:r w:rsidRPr="00C56287">
        <w:rPr>
          <w:rFonts w:asciiTheme="minorHAnsi" w:hAnsiTheme="minorHAnsi"/>
          <w:i/>
          <w:sz w:val="24"/>
          <w:lang w:val="el-GR"/>
        </w:rPr>
        <w:t xml:space="preserve">Ο γενετικός έλεγχος  </w:t>
      </w:r>
    </w:p>
    <w:p w:rsidR="00C56287" w:rsidRPr="00C56287" w:rsidRDefault="00C56287" w:rsidP="00C56287">
      <w:pPr>
        <w:numPr>
          <w:ilvl w:val="0"/>
          <w:numId w:val="44"/>
        </w:numPr>
        <w:spacing w:after="120" w:line="360" w:lineRule="auto"/>
        <w:jc w:val="both"/>
        <w:rPr>
          <w:rFonts w:asciiTheme="minorHAnsi" w:hAnsiTheme="minorHAnsi"/>
          <w:i/>
          <w:sz w:val="24"/>
          <w:lang w:val="el-GR"/>
        </w:rPr>
      </w:pPr>
      <w:r w:rsidRPr="00C56287">
        <w:rPr>
          <w:rFonts w:asciiTheme="minorHAnsi" w:hAnsiTheme="minorHAnsi"/>
          <w:i/>
          <w:sz w:val="24"/>
          <w:lang w:val="el-GR"/>
        </w:rPr>
        <w:t xml:space="preserve">Ο φυσικός έλεγχος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 xml:space="preserve">Σε αντίθεση με τις προηγούμενες μεθόδους, περιλαμβάνει όλες τις τεχνικές αγώνα των οποίων ο τρόπος πρωτογενούς ενέργειας δεν κάνει να επεμβαίνει κάποια βιολογική ή βιοχημική διεργασία. Περιλαμβάνεται ο μηχανικός αγώνας, λόγου χάρη με τη μορφή του σκαλίσματος των αγριόχορτων, ο ηλεκτρομαγνητικός αγώνας, ο πνευματικός και ο θερμικός. Η θερμική επέμβαση συνίσταται στην απολύμανση με τον Ήλιο, η οποία είναι η «πρωτόγονη» μορφή τεχνικών όπως η χρήση της φλόγας, του θερμού νερού, του ατμού....   </w:t>
      </w:r>
    </w:p>
    <w:p w:rsidR="00C56287" w:rsidRPr="00C56287" w:rsidRDefault="00C56287" w:rsidP="00C56287">
      <w:pPr>
        <w:numPr>
          <w:ilvl w:val="0"/>
          <w:numId w:val="44"/>
        </w:numPr>
        <w:spacing w:after="120" w:line="360" w:lineRule="auto"/>
        <w:jc w:val="both"/>
        <w:rPr>
          <w:rFonts w:asciiTheme="minorHAnsi" w:hAnsiTheme="minorHAnsi"/>
          <w:i/>
          <w:sz w:val="24"/>
          <w:lang w:val="el-GR"/>
        </w:rPr>
      </w:pPr>
      <w:r w:rsidRPr="00C56287">
        <w:rPr>
          <w:rFonts w:asciiTheme="minorHAnsi" w:hAnsiTheme="minorHAnsi"/>
          <w:i/>
          <w:sz w:val="24"/>
          <w:lang w:val="el-GR"/>
        </w:rPr>
        <w:t xml:space="preserve">Ο καλλιεργητικός έλεγχος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 xml:space="preserve">Πρόκειται για το σύνολο των προσαρμογών του συστήματος καλλιέργειας που εφαρμόζονται για να περιοριστεί η ανάπτυξη πληθυσμών από βιολογικούς δράστες επιθέσεων, και που δεν αφορούν τα προαναφερθέντα μέσα αγώνα. Αυτό καλύπτει μία πολύ ευρεία κατηγορία τεχνικών επιλογών, από τη διαδοχή των καλλιεργειών μέχρι τη φύτευση ενδιάμεσων καλλιεργειών ή τη συσχέτιση διαφορετικών ειδών στον ίδιο χώρο (χρήση αυτών που ονομάζονται «φυτά υπηρεσιών»). Ο έλεγχος </w:t>
      </w:r>
      <w:r w:rsidRPr="00C56287">
        <w:rPr>
          <w:rFonts w:asciiTheme="minorHAnsi" w:hAnsiTheme="minorHAnsi"/>
          <w:sz w:val="24"/>
          <w:lang w:val="el-GR"/>
        </w:rPr>
        <w:lastRenderedPageBreak/>
        <w:t xml:space="preserve">περιλαμβάνει εξίσου τροποποιήσεις των ημερομηνιών και των πυκνοτήτων σποράς, αλλαγές ημερομηνιών συγκομιδής, προσαρμογή των δόσεων και των ημερομηνιών πρόσληψης λιπασμάτων ή τροποποιήσεων, προσαρμογή τεχνικών άρδευσης ή αποχέτευσης.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Αυτές οι διαφορετικές μέθοδοι αγώνα δεν είναι βέβαια αποκλειστικές η μία ως προς την άλλη. Η αρχή που συνίσταται στο συνδυασμό τους έχει οδηγήσει στο σκεπτικό του ολοκληρωμένου αγώνα, στο τέλος των ετών 1950, όταν οι Καλιφορνέζοι εντομολόγοι πρότειναν να γίνει συνδυασμός του χημικού αγώνα και του βιολογικού αγώνα για να ελεγχθούν τα αρθρόποδα - ολετήρες των μεγάλων καλλιεργειών. Από τότε, αυτό το σκεπτικό έχει πολύ εξελιχθεί και δεκάδες ορισμοί της ολοκληρωμένης προστασίας έχουν προταθεί.  Ο ορισμός του Διεθνούς Οργανισμού Βιολογικού Αγώνα είναι ο εξής: «</w:t>
      </w:r>
      <w:r w:rsidRPr="00C56287">
        <w:rPr>
          <w:rFonts w:asciiTheme="minorHAnsi" w:hAnsiTheme="minorHAnsi"/>
          <w:i/>
          <w:sz w:val="24"/>
          <w:lang w:val="el-GR"/>
        </w:rPr>
        <w:t xml:space="preserve">Σύστημα αγώνα εναντίον των επιβλαβών οργανισμών το οποίο χρησιμοποιεί ένα σύνολο από μεθόδους που ικανοποιούν ταυτόχρονα τις οικονομικές, οικολογικές και τοξικολογικές απαιτήσεις, επιφυλάσσοντας προτεραιότητα στη σκόπιμη εφαρμογή των φυσικών στοιχείων περιορισμού και σεβόμενο το κατώφλι ανοχής». </w:t>
      </w:r>
      <w:r w:rsidRPr="00C56287">
        <w:rPr>
          <w:rFonts w:asciiTheme="minorHAnsi" w:hAnsiTheme="minorHAnsi"/>
          <w:sz w:val="24"/>
          <w:lang w:val="el-GR"/>
        </w:rPr>
        <w:t xml:space="preserve">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 xml:space="preserve">Μέχρι σήμερα, τα προγράμματα ολοκληρωμένης προστασίας έχουν κυρίως επιφέρει επιτυχίες στις προστατευόμενες καλλιέργειες (καλλιέργειες σε καταφύγια) και στην παραγωγή φρούτων. Στη μεγάλη καλλιέργεια, η υιοθέτηση της ολοκληρωμένης προστασίας είναι αρκετά περιορισμένη για δύο λόγους. Ο οικονομικός λόγος έγκειται στο φόβο του οικονομικού κινδύνου, συνδεδεμένου με  την υιοθέτηση μίας μεθόδου προστασίας λιγότερο συστηματικής από τον τυφλό χημικό αγώνα. Ο τεχνικός κίνδυνος συνίσταται στο γεγονός ότι τα προτεινόμενα ελεγκτικά συστήματα συνδυάζοντας προφύλαξη και μεθόδους αγώνα με αποτελέσματα μερικά, είναι πολύ πολύπλοκα για να υιοθετηθούν ευχερώς.     </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 xml:space="preserve">    </w:t>
      </w:r>
    </w:p>
    <w:p w:rsidR="00C56287" w:rsidRDefault="00C56287">
      <w:pPr>
        <w:rPr>
          <w:rFonts w:asciiTheme="minorHAnsi" w:hAnsiTheme="minorHAnsi"/>
          <w:sz w:val="24"/>
          <w:lang w:val="el-GR"/>
        </w:rPr>
      </w:pPr>
      <w:r>
        <w:rPr>
          <w:rFonts w:asciiTheme="minorHAnsi" w:hAnsiTheme="minorHAnsi"/>
          <w:sz w:val="24"/>
          <w:lang w:val="el-GR"/>
        </w:rPr>
        <w:br w:type="page"/>
      </w:r>
    </w:p>
    <w:p w:rsidR="00C56287" w:rsidRPr="00C56287" w:rsidRDefault="00C56287" w:rsidP="00C56287">
      <w:pPr>
        <w:spacing w:before="360" w:after="120" w:line="360" w:lineRule="auto"/>
        <w:jc w:val="both"/>
        <w:rPr>
          <w:rFonts w:asciiTheme="minorHAnsi" w:hAnsiTheme="minorHAnsi"/>
          <w:b/>
          <w:sz w:val="24"/>
          <w:lang w:val="el-GR"/>
        </w:rPr>
      </w:pPr>
      <w:r>
        <w:rPr>
          <w:rFonts w:asciiTheme="minorHAnsi" w:hAnsiTheme="minorHAnsi"/>
          <w:noProof/>
          <w:sz w:val="24"/>
          <w:lang w:val="el-GR" w:eastAsia="el-GR" w:bidi="ar-SA"/>
        </w:rPr>
        <w:lastRenderedPageBreak/>
        <mc:AlternateContent>
          <mc:Choice Requires="wps">
            <w:drawing>
              <wp:anchor distT="0" distB="0" distL="114300" distR="114300" simplePos="0" relativeHeight="251659264" behindDoc="1" locked="0" layoutInCell="1" allowOverlap="1">
                <wp:simplePos x="0" y="0"/>
                <wp:positionH relativeFrom="column">
                  <wp:posOffset>12065</wp:posOffset>
                </wp:positionH>
                <wp:positionV relativeFrom="paragraph">
                  <wp:posOffset>120650</wp:posOffset>
                </wp:positionV>
                <wp:extent cx="5279390" cy="0"/>
                <wp:effectExtent l="0" t="0" r="16510" b="19050"/>
                <wp:wrapTight wrapText="bothSides">
                  <wp:wrapPolygon edited="0">
                    <wp:start x="0" y="-1"/>
                    <wp:lineTo x="0" y="-1"/>
                    <wp:lineTo x="21590" y="-1"/>
                    <wp:lineTo x="21590" y="-1"/>
                    <wp:lineTo x="0" y="-1"/>
                  </wp:wrapPolygon>
                </wp:wrapTight>
                <wp:docPr id="2" name="Straight Connector 2"/>
                <wp:cNvGraphicFramePr/>
                <a:graphic xmlns:a="http://schemas.openxmlformats.org/drawingml/2006/main">
                  <a:graphicData uri="http://schemas.microsoft.com/office/word/2010/wordprocessingShape">
                    <wps:wsp>
                      <wps:cNvCnPr/>
                      <wps:spPr>
                        <a:xfrm>
                          <a:off x="0" y="0"/>
                          <a:ext cx="5279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BF27E3"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9.5pt" to="41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" strokecolor="#4579b8 [3044]">
                <w10:wrap type="tight"/>
              </v:line>
            </w:pict>
          </mc:Fallback>
        </mc:AlternateContent>
      </w:r>
      <w:r w:rsidRPr="00C56287">
        <w:rPr>
          <w:rFonts w:asciiTheme="minorHAnsi" w:hAnsiTheme="minorHAnsi"/>
          <w:b/>
          <w:sz w:val="24"/>
          <w:lang w:val="el-GR"/>
        </w:rPr>
        <w:t>Σχήμα 1. Μέθοδοι ελέγχου των επιβλαβών για τις καλλιέργειες οργανισμών</w:t>
      </w:r>
    </w:p>
    <w:p w:rsidR="00C56287" w:rsidRPr="00C56287" w:rsidRDefault="00C56287" w:rsidP="00C56287">
      <w:pPr>
        <w:spacing w:after="120" w:line="360" w:lineRule="auto"/>
        <w:jc w:val="both"/>
        <w:rPr>
          <w:rFonts w:asciiTheme="minorHAnsi" w:hAnsiTheme="minorHAnsi"/>
          <w:b/>
          <w:sz w:val="24"/>
          <w:lang w:val="el-GR"/>
        </w:rPr>
      </w:pPr>
      <w:r w:rsidRPr="00C56287">
        <w:rPr>
          <w:rFonts w:asciiTheme="minorHAnsi" w:hAnsiTheme="minorHAnsi"/>
          <w:b/>
          <w:sz w:val="24"/>
          <w:lang w:val="el-GR"/>
        </w:rPr>
        <w:t xml:space="preserve">ΑΛΛΗΛΟΥΧΙΑ ΜΕΘΟΔΩΝ </w:t>
      </w:r>
    </w:p>
    <w:p w:rsidR="00C56287" w:rsidRPr="00C56287" w:rsidRDefault="00C56287" w:rsidP="00C56287">
      <w:pPr>
        <w:numPr>
          <w:ilvl w:val="0"/>
          <w:numId w:val="45"/>
        </w:numPr>
        <w:spacing w:after="120" w:line="360" w:lineRule="auto"/>
        <w:jc w:val="both"/>
        <w:rPr>
          <w:rFonts w:asciiTheme="minorHAnsi" w:hAnsiTheme="minorHAnsi"/>
          <w:sz w:val="24"/>
          <w:lang w:val="el-GR"/>
        </w:rPr>
      </w:pPr>
      <w:r w:rsidRPr="00C56287">
        <w:rPr>
          <w:rFonts w:asciiTheme="minorHAnsi" w:hAnsiTheme="minorHAnsi"/>
          <w:b/>
          <w:sz w:val="24"/>
          <w:lang w:val="el-GR"/>
        </w:rPr>
        <w:t xml:space="preserve">Ο χημικός αγώνας </w:t>
      </w:r>
      <w:r w:rsidRPr="00C56287">
        <w:rPr>
          <w:rFonts w:asciiTheme="minorHAnsi" w:hAnsiTheme="minorHAnsi"/>
          <w:sz w:val="24"/>
          <w:lang w:val="el-GR"/>
        </w:rPr>
        <w:t>(χημικά λιπάσματα)</w:t>
      </w:r>
    </w:p>
    <w:p w:rsidR="00C56287" w:rsidRPr="00C56287" w:rsidRDefault="00C56287" w:rsidP="00C56287">
      <w:pPr>
        <w:numPr>
          <w:ilvl w:val="0"/>
          <w:numId w:val="45"/>
        </w:numPr>
        <w:spacing w:after="120" w:line="360" w:lineRule="auto"/>
        <w:jc w:val="both"/>
        <w:rPr>
          <w:rFonts w:asciiTheme="minorHAnsi" w:hAnsiTheme="minorHAnsi"/>
          <w:sz w:val="24"/>
          <w:lang w:val="el-GR"/>
        </w:rPr>
      </w:pPr>
      <w:r w:rsidRPr="00C56287">
        <w:rPr>
          <w:rFonts w:asciiTheme="minorHAnsi" w:hAnsiTheme="minorHAnsi"/>
          <w:b/>
          <w:sz w:val="24"/>
          <w:lang w:val="el-GR"/>
        </w:rPr>
        <w:t xml:space="preserve">Ο βιολογικός αγώνας </w:t>
      </w:r>
      <w:r w:rsidRPr="00C56287">
        <w:rPr>
          <w:rFonts w:asciiTheme="minorHAnsi" w:hAnsiTheme="minorHAnsi"/>
          <w:sz w:val="24"/>
          <w:lang w:val="el-GR"/>
        </w:rPr>
        <w:t xml:space="preserve">(π.χ. βάκιλοι όπως ο </w:t>
      </w:r>
      <w:bookmarkStart w:id="0" w:name="_GoBack"/>
      <w:bookmarkEnd w:id="0"/>
      <w:r w:rsidRPr="00C56287">
        <w:rPr>
          <w:rFonts w:asciiTheme="minorHAnsi" w:hAnsiTheme="minorHAnsi"/>
          <w:sz w:val="24"/>
          <w:lang w:val="el-GR"/>
        </w:rPr>
        <w:t>βάκιλος των προϊόντων της αγοράς «</w:t>
      </w:r>
      <w:proofErr w:type="spellStart"/>
      <w:r w:rsidRPr="00C56287">
        <w:rPr>
          <w:rFonts w:asciiTheme="minorHAnsi" w:hAnsiTheme="minorHAnsi"/>
          <w:sz w:val="24"/>
          <w:lang w:val="fr-FR"/>
        </w:rPr>
        <w:t>Bact</w:t>
      </w:r>
      <w:proofErr w:type="spellEnd"/>
      <w:r w:rsidRPr="00C56287">
        <w:rPr>
          <w:rFonts w:asciiTheme="minorHAnsi" w:hAnsiTheme="minorHAnsi"/>
          <w:sz w:val="24"/>
          <w:lang w:val="el-GR"/>
        </w:rPr>
        <w:t>é</w:t>
      </w:r>
      <w:proofErr w:type="spellStart"/>
      <w:r w:rsidRPr="00C56287">
        <w:rPr>
          <w:rFonts w:asciiTheme="minorHAnsi" w:hAnsiTheme="minorHAnsi"/>
          <w:sz w:val="24"/>
          <w:lang w:val="fr-FR"/>
        </w:rPr>
        <w:t>riolit</w:t>
      </w:r>
      <w:proofErr w:type="spellEnd"/>
      <w:r w:rsidRPr="00C56287">
        <w:rPr>
          <w:rFonts w:asciiTheme="minorHAnsi" w:hAnsiTheme="minorHAnsi"/>
          <w:sz w:val="24"/>
          <w:lang w:val="el-GR"/>
        </w:rPr>
        <w:t>» και «</w:t>
      </w:r>
      <w:proofErr w:type="spellStart"/>
      <w:r w:rsidRPr="00C56287">
        <w:rPr>
          <w:rFonts w:asciiTheme="minorHAnsi" w:hAnsiTheme="minorHAnsi"/>
          <w:sz w:val="24"/>
          <w:lang w:val="fr-FR"/>
        </w:rPr>
        <w:t>Bact</w:t>
      </w:r>
      <w:proofErr w:type="spellEnd"/>
      <w:r w:rsidRPr="00C56287">
        <w:rPr>
          <w:rFonts w:asciiTheme="minorHAnsi" w:hAnsiTheme="minorHAnsi"/>
          <w:sz w:val="24"/>
          <w:lang w:val="el-GR"/>
        </w:rPr>
        <w:t>é</w:t>
      </w:r>
      <w:proofErr w:type="spellStart"/>
      <w:r w:rsidRPr="00C56287">
        <w:rPr>
          <w:rFonts w:asciiTheme="minorHAnsi" w:hAnsiTheme="minorHAnsi"/>
          <w:sz w:val="24"/>
          <w:lang w:val="fr-FR"/>
        </w:rPr>
        <w:t>riosol</w:t>
      </w:r>
      <w:proofErr w:type="spellEnd"/>
      <w:r w:rsidRPr="00C56287">
        <w:rPr>
          <w:rFonts w:asciiTheme="minorHAnsi" w:hAnsiTheme="minorHAnsi"/>
          <w:sz w:val="24"/>
          <w:lang w:val="el-GR"/>
        </w:rPr>
        <w:t xml:space="preserve">») </w:t>
      </w:r>
    </w:p>
    <w:p w:rsidR="00C56287" w:rsidRPr="00C56287" w:rsidRDefault="00C56287" w:rsidP="00C56287">
      <w:pPr>
        <w:numPr>
          <w:ilvl w:val="0"/>
          <w:numId w:val="45"/>
        </w:numPr>
        <w:spacing w:after="120" w:line="360" w:lineRule="auto"/>
        <w:jc w:val="both"/>
        <w:rPr>
          <w:rFonts w:asciiTheme="minorHAnsi" w:hAnsiTheme="minorHAnsi"/>
          <w:b/>
          <w:sz w:val="24"/>
          <w:lang w:val="el-GR"/>
        </w:rPr>
      </w:pPr>
      <w:r w:rsidRPr="00C56287">
        <w:rPr>
          <w:rFonts w:asciiTheme="minorHAnsi" w:hAnsiTheme="minorHAnsi"/>
          <w:b/>
          <w:sz w:val="24"/>
          <w:lang w:val="el-GR"/>
        </w:rPr>
        <w:t xml:space="preserve">Ο γενετικός έλεγχος </w:t>
      </w:r>
      <w:r w:rsidRPr="00C56287">
        <w:rPr>
          <w:rFonts w:asciiTheme="minorHAnsi" w:hAnsiTheme="minorHAnsi"/>
          <w:sz w:val="24"/>
          <w:lang w:val="el-GR"/>
        </w:rPr>
        <w:t>(</w:t>
      </w:r>
      <w:proofErr w:type="spellStart"/>
      <w:r w:rsidRPr="00C56287">
        <w:rPr>
          <w:rFonts w:asciiTheme="minorHAnsi" w:hAnsiTheme="minorHAnsi"/>
          <w:sz w:val="24"/>
          <w:lang w:val="el-GR"/>
        </w:rPr>
        <w:t>διαγονιδιακά</w:t>
      </w:r>
      <w:proofErr w:type="spellEnd"/>
      <w:r w:rsidRPr="00C56287">
        <w:rPr>
          <w:rFonts w:asciiTheme="minorHAnsi" w:hAnsiTheme="minorHAnsi"/>
          <w:sz w:val="24"/>
          <w:lang w:val="el-GR"/>
        </w:rPr>
        <w:t>)</w:t>
      </w:r>
      <w:r w:rsidRPr="00C56287">
        <w:rPr>
          <w:rFonts w:asciiTheme="minorHAnsi" w:hAnsiTheme="minorHAnsi"/>
          <w:b/>
          <w:sz w:val="24"/>
          <w:lang w:val="el-GR"/>
        </w:rPr>
        <w:t xml:space="preserve"> </w:t>
      </w:r>
    </w:p>
    <w:p w:rsidR="00C56287" w:rsidRPr="00C56287" w:rsidRDefault="00C56287" w:rsidP="00C56287">
      <w:pPr>
        <w:numPr>
          <w:ilvl w:val="0"/>
          <w:numId w:val="45"/>
        </w:numPr>
        <w:spacing w:after="120" w:line="360" w:lineRule="auto"/>
        <w:jc w:val="both"/>
        <w:rPr>
          <w:rFonts w:asciiTheme="minorHAnsi" w:hAnsiTheme="minorHAnsi"/>
          <w:b/>
          <w:sz w:val="24"/>
          <w:lang w:val="el-GR"/>
        </w:rPr>
      </w:pPr>
      <w:r w:rsidRPr="00C56287">
        <w:rPr>
          <w:rFonts w:asciiTheme="minorHAnsi" w:hAnsiTheme="minorHAnsi"/>
          <w:b/>
          <w:sz w:val="24"/>
          <w:lang w:val="el-GR"/>
        </w:rPr>
        <w:t xml:space="preserve"> Ο φυσικός αγώνας </w:t>
      </w:r>
      <w:r w:rsidRPr="00C56287">
        <w:rPr>
          <w:rFonts w:asciiTheme="minorHAnsi" w:hAnsiTheme="minorHAnsi"/>
          <w:sz w:val="24"/>
          <w:lang w:val="el-GR"/>
        </w:rPr>
        <w:t>(συμπεριλαμβανομένου του μηχανικού αγώνα π.χ. σκάλισμα των αγριόχορτων)</w:t>
      </w:r>
      <w:r w:rsidRPr="00C56287">
        <w:rPr>
          <w:rFonts w:asciiTheme="minorHAnsi" w:hAnsiTheme="minorHAnsi"/>
          <w:b/>
          <w:sz w:val="24"/>
          <w:lang w:val="el-GR"/>
        </w:rPr>
        <w:t xml:space="preserve"> </w:t>
      </w:r>
    </w:p>
    <w:p w:rsidR="00C56287" w:rsidRPr="00C56287" w:rsidRDefault="00C56287" w:rsidP="00C56287">
      <w:pPr>
        <w:numPr>
          <w:ilvl w:val="0"/>
          <w:numId w:val="45"/>
        </w:numPr>
        <w:spacing w:after="120" w:line="360" w:lineRule="auto"/>
        <w:jc w:val="both"/>
        <w:rPr>
          <w:rFonts w:asciiTheme="minorHAnsi" w:hAnsiTheme="minorHAnsi"/>
          <w:b/>
          <w:sz w:val="24"/>
          <w:lang w:val="el-GR"/>
        </w:rPr>
      </w:pPr>
      <w:r w:rsidRPr="00C56287">
        <w:rPr>
          <w:rFonts w:asciiTheme="minorHAnsi" w:hAnsiTheme="minorHAnsi"/>
          <w:b/>
          <w:sz w:val="24"/>
          <w:lang w:val="el-GR"/>
        </w:rPr>
        <w:t xml:space="preserve">Ο  καλλιεργητικός έλεγχος </w:t>
      </w:r>
      <w:r w:rsidRPr="00C56287">
        <w:rPr>
          <w:rFonts w:asciiTheme="minorHAnsi" w:hAnsiTheme="minorHAnsi"/>
          <w:sz w:val="24"/>
          <w:lang w:val="el-GR"/>
        </w:rPr>
        <w:t>(π.χ. αμειψισπορά)</w:t>
      </w:r>
      <w:r w:rsidRPr="00C56287">
        <w:rPr>
          <w:rFonts w:asciiTheme="minorHAnsi" w:hAnsiTheme="minorHAnsi"/>
          <w:b/>
          <w:sz w:val="24"/>
          <w:lang w:val="el-GR"/>
        </w:rPr>
        <w:t xml:space="preserve">  </w:t>
      </w:r>
    </w:p>
    <w:p w:rsidR="00C56287" w:rsidRPr="00C56287" w:rsidRDefault="00C56287" w:rsidP="00C56287">
      <w:pPr>
        <w:spacing w:after="120" w:line="360" w:lineRule="auto"/>
        <w:jc w:val="both"/>
        <w:rPr>
          <w:rFonts w:asciiTheme="minorHAnsi" w:hAnsiTheme="minorHAnsi"/>
          <w:b/>
          <w:sz w:val="24"/>
          <w:lang w:val="el-GR"/>
        </w:rPr>
      </w:pPr>
      <w:r w:rsidRPr="00C56287">
        <w:rPr>
          <w:rFonts w:asciiTheme="minorHAnsi" w:hAnsiTheme="minorHAnsi"/>
          <w:b/>
          <w:sz w:val="24"/>
          <w:lang w:val="el-GR"/>
        </w:rPr>
        <w:t>***</w:t>
      </w:r>
    </w:p>
    <w:p w:rsidR="00C56287" w:rsidRPr="00C56287" w:rsidRDefault="00C56287" w:rsidP="00C56287">
      <w:pPr>
        <w:spacing w:after="120" w:line="360" w:lineRule="auto"/>
        <w:jc w:val="both"/>
        <w:rPr>
          <w:rFonts w:asciiTheme="minorHAnsi" w:hAnsiTheme="minorHAnsi"/>
          <w:sz w:val="24"/>
          <w:lang w:val="el-GR"/>
        </w:rPr>
      </w:pPr>
      <w:r w:rsidRPr="00C56287">
        <w:rPr>
          <w:rFonts w:asciiTheme="minorHAnsi" w:hAnsiTheme="minorHAnsi"/>
          <w:sz w:val="24"/>
          <w:lang w:val="el-GR"/>
        </w:rPr>
        <w:t xml:space="preserve">Οι 2 τελευταίες γενεές γεωπόνων έχουν εκ των πραγμάτων καθιερώσει μία εμπλουτιζόμενη λόγω της προόδου και της συναρμογής των μεθόδων καινοτομία, την αρχή του συνδυασμού των παραπάνω μεθόδων, η οποία ονομάζεται: </w:t>
      </w:r>
    </w:p>
    <w:p w:rsidR="00C56287" w:rsidRPr="00C56287" w:rsidRDefault="00C56287" w:rsidP="00C56287">
      <w:pPr>
        <w:spacing w:after="120" w:line="360" w:lineRule="auto"/>
        <w:jc w:val="both"/>
        <w:rPr>
          <w:rFonts w:asciiTheme="minorHAnsi" w:hAnsiTheme="minorHAnsi"/>
          <w:b/>
          <w:sz w:val="24"/>
          <w:lang w:val="el-GR"/>
        </w:rPr>
      </w:pPr>
      <w:r w:rsidRPr="00C56287">
        <w:rPr>
          <w:rFonts w:asciiTheme="minorHAnsi" w:hAnsiTheme="minorHAnsi"/>
          <w:b/>
          <w:sz w:val="24"/>
          <w:lang w:val="el-GR"/>
        </w:rPr>
        <w:tab/>
        <w:t xml:space="preserve">«ΟΛΟΚΛΗΡΩΜΕΝΗ ΠΡΟΣΤΑΣΙΑ» (εναντίον των επιβλαβών για τις καλλιέργειες οργανισμών)   </w:t>
      </w:r>
    </w:p>
    <w:p w:rsidR="00C56287" w:rsidRPr="00C56287" w:rsidRDefault="00C56287" w:rsidP="00C56287">
      <w:pPr>
        <w:spacing w:after="120" w:line="360" w:lineRule="auto"/>
        <w:jc w:val="both"/>
        <w:rPr>
          <w:rFonts w:asciiTheme="minorHAnsi" w:hAnsiTheme="minorHAnsi"/>
          <w:sz w:val="24"/>
          <w:lang w:val="el-GR"/>
        </w:rPr>
      </w:pPr>
      <w:proofErr w:type="spellStart"/>
      <w:r w:rsidRPr="00C56287">
        <w:rPr>
          <w:rFonts w:asciiTheme="minorHAnsi" w:hAnsiTheme="minorHAnsi"/>
          <w:sz w:val="24"/>
          <w:lang w:val="el-GR"/>
        </w:rPr>
        <w:t>Πδ</w:t>
      </w:r>
      <w:proofErr w:type="spellEnd"/>
      <w:r w:rsidRPr="00C56287">
        <w:rPr>
          <w:rFonts w:asciiTheme="minorHAnsi" w:hAnsiTheme="minorHAnsi"/>
          <w:sz w:val="24"/>
          <w:lang w:val="el-GR"/>
        </w:rPr>
        <w:t>. Η χρήση των αγοραίων προϊόντων με τους βακίλους «</w:t>
      </w:r>
      <w:proofErr w:type="spellStart"/>
      <w:r w:rsidRPr="00C56287">
        <w:rPr>
          <w:rFonts w:asciiTheme="minorHAnsi" w:hAnsiTheme="minorHAnsi"/>
          <w:sz w:val="24"/>
          <w:lang w:val="fr-FR"/>
        </w:rPr>
        <w:t>Bact</w:t>
      </w:r>
      <w:proofErr w:type="spellEnd"/>
      <w:r w:rsidRPr="00C56287">
        <w:rPr>
          <w:rFonts w:asciiTheme="minorHAnsi" w:hAnsiTheme="minorHAnsi"/>
          <w:sz w:val="24"/>
          <w:lang w:val="el-GR"/>
        </w:rPr>
        <w:t>é</w:t>
      </w:r>
      <w:proofErr w:type="spellStart"/>
      <w:r w:rsidRPr="00C56287">
        <w:rPr>
          <w:rFonts w:asciiTheme="minorHAnsi" w:hAnsiTheme="minorHAnsi"/>
          <w:sz w:val="24"/>
          <w:lang w:val="fr-FR"/>
        </w:rPr>
        <w:t>riosol</w:t>
      </w:r>
      <w:proofErr w:type="spellEnd"/>
      <w:r w:rsidRPr="00C56287">
        <w:rPr>
          <w:rFonts w:asciiTheme="minorHAnsi" w:hAnsiTheme="minorHAnsi"/>
          <w:sz w:val="24"/>
          <w:lang w:val="el-GR"/>
        </w:rPr>
        <w:t>» και «</w:t>
      </w:r>
      <w:proofErr w:type="spellStart"/>
      <w:r w:rsidRPr="00C56287">
        <w:rPr>
          <w:rFonts w:asciiTheme="minorHAnsi" w:hAnsiTheme="minorHAnsi"/>
          <w:sz w:val="24"/>
          <w:lang w:val="fr-FR"/>
        </w:rPr>
        <w:t>Bact</w:t>
      </w:r>
      <w:proofErr w:type="spellEnd"/>
      <w:r w:rsidRPr="00C56287">
        <w:rPr>
          <w:rFonts w:asciiTheme="minorHAnsi" w:hAnsiTheme="minorHAnsi"/>
          <w:sz w:val="24"/>
          <w:lang w:val="el-GR"/>
        </w:rPr>
        <w:t>é</w:t>
      </w:r>
      <w:proofErr w:type="spellStart"/>
      <w:r w:rsidRPr="00C56287">
        <w:rPr>
          <w:rFonts w:asciiTheme="minorHAnsi" w:hAnsiTheme="minorHAnsi"/>
          <w:sz w:val="24"/>
          <w:lang w:val="fr-FR"/>
        </w:rPr>
        <w:t>riolit</w:t>
      </w:r>
      <w:proofErr w:type="spellEnd"/>
      <w:r w:rsidRPr="00C56287">
        <w:rPr>
          <w:rFonts w:asciiTheme="minorHAnsi" w:hAnsiTheme="minorHAnsi"/>
          <w:sz w:val="24"/>
          <w:lang w:val="el-GR"/>
        </w:rPr>
        <w:t xml:space="preserve">» σε γεωργικές καλλιέργειες με χημικά φυτοφάρμακα   </w:t>
      </w:r>
    </w:p>
    <w:p w:rsidR="00C56287" w:rsidRPr="00C56287" w:rsidRDefault="00C56287" w:rsidP="00C56287">
      <w:pPr>
        <w:spacing w:after="120" w:line="360" w:lineRule="auto"/>
        <w:jc w:val="both"/>
        <w:rPr>
          <w:rFonts w:asciiTheme="minorHAnsi" w:hAnsiTheme="minorHAnsi"/>
          <w:b/>
          <w:sz w:val="24"/>
          <w:lang w:val="el-GR"/>
        </w:rPr>
      </w:pPr>
      <w:r w:rsidRPr="00C56287">
        <w:rPr>
          <w:rFonts w:asciiTheme="minorHAnsi" w:hAnsiTheme="minorHAnsi"/>
          <w:sz w:val="24"/>
          <w:lang w:val="el-GR"/>
        </w:rPr>
        <w:t>Συνεπώς,</w:t>
      </w:r>
      <w:r w:rsidRPr="00C56287">
        <w:rPr>
          <w:rFonts w:asciiTheme="minorHAnsi" w:hAnsiTheme="minorHAnsi"/>
          <w:b/>
          <w:sz w:val="24"/>
          <w:lang w:val="el-GR"/>
        </w:rPr>
        <w:t xml:space="preserve"> </w:t>
      </w:r>
    </w:p>
    <w:p w:rsidR="00C56287" w:rsidRDefault="00C56287" w:rsidP="00C56287">
      <w:pPr>
        <w:spacing w:after="120" w:line="360" w:lineRule="auto"/>
        <w:jc w:val="both"/>
        <w:rPr>
          <w:rFonts w:asciiTheme="minorHAnsi" w:hAnsiTheme="minorHAnsi"/>
          <w:b/>
          <w:sz w:val="24"/>
          <w:lang w:val="el-GR"/>
        </w:rPr>
      </w:pPr>
      <w:r w:rsidRPr="00C56287">
        <w:rPr>
          <w:rFonts w:asciiTheme="minorHAnsi" w:hAnsiTheme="minorHAnsi"/>
          <w:b/>
          <w:sz w:val="24"/>
          <w:lang w:val="el-GR"/>
        </w:rPr>
        <w:t xml:space="preserve">«ΟΛΟΚΛΗΡΩΜΕΝΗ ΠΡΟΣΤΑΣΙΑ» = ΕΙΔΟΣ ΣΥΓΚΡΗΤΙΣΜΟΥ (ΚΑΛΛΙΕΡΓΗΤΙΚΟΣ Ή ΓΕΩΡΓΙΚΟΣ ΣΥΓΚΡΗΤΙΣΜΟΣ)  </w:t>
      </w:r>
    </w:p>
    <w:p w:rsidR="00C56287" w:rsidRPr="00C56287" w:rsidRDefault="00C56287" w:rsidP="00C56287">
      <w:pPr>
        <w:spacing w:after="120" w:line="360" w:lineRule="auto"/>
        <w:jc w:val="both"/>
        <w:rPr>
          <w:rFonts w:asciiTheme="minorHAnsi" w:hAnsiTheme="minorHAnsi"/>
          <w:b/>
          <w:sz w:val="24"/>
          <w:lang w:val="el-GR"/>
        </w:rPr>
      </w:pPr>
      <w:r>
        <w:rPr>
          <w:rFonts w:asciiTheme="minorHAnsi" w:hAnsiTheme="minorHAnsi"/>
          <w:noProof/>
          <w:sz w:val="24"/>
          <w:lang w:val="el-GR" w:eastAsia="el-GR" w:bidi="ar-SA"/>
        </w:rPr>
        <mc:AlternateContent>
          <mc:Choice Requires="wps">
            <w:drawing>
              <wp:anchor distT="0" distB="0" distL="114300" distR="114300" simplePos="0" relativeHeight="251661312" behindDoc="1" locked="0" layoutInCell="1" allowOverlap="1" wp14:anchorId="08A79FF6" wp14:editId="21B044C9">
                <wp:simplePos x="0" y="0"/>
                <wp:positionH relativeFrom="column">
                  <wp:posOffset>-21590</wp:posOffset>
                </wp:positionH>
                <wp:positionV relativeFrom="paragraph">
                  <wp:posOffset>119380</wp:posOffset>
                </wp:positionV>
                <wp:extent cx="5347970" cy="0"/>
                <wp:effectExtent l="0" t="0" r="24130" b="19050"/>
                <wp:wrapTight wrapText="bothSides">
                  <wp:wrapPolygon edited="0">
                    <wp:start x="0" y="-1"/>
                    <wp:lineTo x="0" y="-1"/>
                    <wp:lineTo x="21621" y="-1"/>
                    <wp:lineTo x="21621" y="-1"/>
                    <wp:lineTo x="0" y="-1"/>
                  </wp:wrapPolygon>
                </wp:wrapTight>
                <wp:docPr id="5" name="Straight Connector 5"/>
                <wp:cNvGraphicFramePr/>
                <a:graphic xmlns:a="http://schemas.openxmlformats.org/drawingml/2006/main">
                  <a:graphicData uri="http://schemas.microsoft.com/office/word/2010/wordprocessingShape">
                    <wps:wsp>
                      <wps:cNvCnPr/>
                      <wps:spPr>
                        <a:xfrm>
                          <a:off x="0" y="0"/>
                          <a:ext cx="5347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58455B" id="Straight Connector 5"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9.4pt" to="419.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" strokecolor="#4579b8 [3044]">
                <w10:wrap type="tight"/>
              </v:line>
            </w:pict>
          </mc:Fallback>
        </mc:AlternateContent>
      </w: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125E6C"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proofErr w:type="spellStart"/>
      <w:r w:rsidRPr="003C30BC">
        <w:rPr>
          <w:rFonts w:asciiTheme="minorHAnsi" w:hAnsiTheme="minorHAnsi"/>
          <w:lang w:val="el-GR"/>
        </w:rPr>
        <w:t>Copyright</w:t>
      </w:r>
      <w:proofErr w:type="spellEnd"/>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Pr="00821300">
        <w:rPr>
          <w:rFonts w:asciiTheme="minorHAnsi" w:hAnsiTheme="minorHAnsi"/>
          <w:lang w:val="el-GR"/>
        </w:rPr>
        <w:t xml:space="preserve">Ενότητα </w:t>
      </w:r>
      <w:r w:rsidR="00C56287">
        <w:rPr>
          <w:rFonts w:asciiTheme="minorHAnsi" w:hAnsiTheme="minorHAnsi"/>
          <w:lang w:val="el-GR"/>
        </w:rPr>
        <w:t>6</w:t>
      </w:r>
      <w:r w:rsidRPr="00821300">
        <w:rPr>
          <w:rFonts w:asciiTheme="minorHAnsi" w:hAnsiTheme="minorHAnsi"/>
          <w:lang w:val="el-GR"/>
        </w:rPr>
        <w:t xml:space="preserve">: </w:t>
      </w:r>
      <w:r w:rsidR="00C56287" w:rsidRPr="00C56287">
        <w:rPr>
          <w:rFonts w:asciiTheme="minorHAnsi" w:hAnsiTheme="minorHAnsi"/>
          <w:lang w:val="el-GR"/>
        </w:rPr>
        <w:t>Μέθοδοι ελέγχου των βιολογικών δραστών επίθεσης πλην του γενετικού ελέγχου και η αρχή της ολοκληρωμένης προστασίας</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3" w:history="1">
        <w:r w:rsidRPr="00670635">
          <w:rPr>
            <w:rStyle w:val="-"/>
            <w:rFonts w:asciiTheme="minorHAnsi" w:hAnsiTheme="minorHAnsi"/>
            <w:lang w:val="el-GR"/>
          </w:rPr>
          <w:t>ocp.teiath.gr</w:t>
        </w:r>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54"/>
        <w:gridCol w:w="6252"/>
      </w:tblGrid>
      <w:tr w:rsidR="009A37DA" w:rsidRPr="00125E6C"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125E6C"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125E6C"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125E6C"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125E6C"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125E6C"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125E6C"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a4"/>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default" r:id="rId16"/>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712" w:rsidRDefault="00E42712">
      <w:pPr>
        <w:spacing w:after="0" w:line="240" w:lineRule="auto"/>
      </w:pPr>
      <w:r>
        <w:separator/>
      </w:r>
    </w:p>
  </w:endnote>
  <w:endnote w:type="continuationSeparator" w:id="0">
    <w:p w:rsidR="00E42712" w:rsidRDefault="00E4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125E6C">
          <w:rPr>
            <w:noProof/>
            <w:sz w:val="28"/>
            <w:szCs w:val="28"/>
          </w:rPr>
          <w:t>7</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712" w:rsidRDefault="00E42712">
      <w:pPr>
        <w:spacing w:after="0" w:line="240" w:lineRule="auto"/>
      </w:pPr>
      <w:r>
        <w:separator/>
      </w:r>
    </w:p>
  </w:footnote>
  <w:footnote w:type="continuationSeparator" w:id="0">
    <w:p w:rsidR="00E42712" w:rsidRDefault="00E42712">
      <w:pPr>
        <w:spacing w:after="0" w:line="240" w:lineRule="auto"/>
      </w:pPr>
      <w:r>
        <w:continuationSeparator/>
      </w:r>
    </w:p>
  </w:footnote>
  <w:footnote w:id="1">
    <w:p w:rsidR="00C56287" w:rsidRPr="00C56287" w:rsidRDefault="00C56287" w:rsidP="00C56287">
      <w:pPr>
        <w:pStyle w:val="af0"/>
        <w:jc w:val="both"/>
        <w:rPr>
          <w:rFonts w:asciiTheme="minorHAnsi" w:hAnsiTheme="minorHAnsi"/>
          <w:lang w:val="fr-FR"/>
        </w:rPr>
      </w:pPr>
      <w:r w:rsidRPr="00C56287">
        <w:rPr>
          <w:rStyle w:val="af1"/>
          <w:rFonts w:asciiTheme="minorHAnsi" w:hAnsiTheme="minorHAnsi"/>
        </w:rPr>
        <w:footnoteRef/>
      </w:r>
      <w:r w:rsidRPr="00C56287">
        <w:rPr>
          <w:rFonts w:asciiTheme="minorHAnsi" w:hAnsiTheme="minorHAnsi"/>
          <w:lang w:val="fr-FR"/>
        </w:rPr>
        <w:t xml:space="preserve"> T. Doré, M. Le Bail, P. Martin, B. Ney, J. Roger-Estrade (</w:t>
      </w:r>
      <w:proofErr w:type="spellStart"/>
      <w:r w:rsidRPr="00C56287">
        <w:rPr>
          <w:rFonts w:asciiTheme="minorHAnsi" w:hAnsiTheme="minorHAnsi"/>
          <w:lang w:val="fr-FR"/>
        </w:rPr>
        <w:t>coord</w:t>
      </w:r>
      <w:proofErr w:type="spellEnd"/>
      <w:r w:rsidRPr="00C56287">
        <w:rPr>
          <w:rFonts w:asciiTheme="minorHAnsi" w:hAnsiTheme="minorHAnsi"/>
          <w:lang w:val="fr-FR"/>
        </w:rPr>
        <w:t xml:space="preserve">.), </w:t>
      </w:r>
      <w:r w:rsidRPr="00C56287">
        <w:rPr>
          <w:rFonts w:asciiTheme="minorHAnsi" w:hAnsiTheme="minorHAnsi"/>
          <w:i/>
          <w:lang w:val="fr-FR"/>
        </w:rPr>
        <w:t>L’agronomie aujourd’hui</w:t>
      </w:r>
      <w:r w:rsidRPr="00C56287">
        <w:rPr>
          <w:rFonts w:asciiTheme="minorHAnsi" w:hAnsiTheme="minorHAnsi"/>
          <w:lang w:val="fr-FR"/>
        </w:rPr>
        <w:t xml:space="preserve">, Éditions </w:t>
      </w:r>
      <w:proofErr w:type="spellStart"/>
      <w:r w:rsidRPr="00C56287">
        <w:rPr>
          <w:rFonts w:asciiTheme="minorHAnsi" w:hAnsiTheme="minorHAnsi"/>
          <w:lang w:val="fr-FR"/>
        </w:rPr>
        <w:t>Quae</w:t>
      </w:r>
      <w:proofErr w:type="spellEnd"/>
      <w:r w:rsidRPr="00C56287">
        <w:rPr>
          <w:rFonts w:asciiTheme="minorHAnsi" w:hAnsiTheme="minorHAnsi"/>
          <w:lang w:val="fr-FR"/>
        </w:rPr>
        <w:t xml:space="preserve"> 2013, </w:t>
      </w:r>
      <w:proofErr w:type="spellStart"/>
      <w:r w:rsidRPr="00C56287">
        <w:rPr>
          <w:rFonts w:asciiTheme="minorHAnsi" w:hAnsiTheme="minorHAnsi"/>
        </w:rPr>
        <w:t>σσ</w:t>
      </w:r>
      <w:proofErr w:type="spellEnd"/>
      <w:r w:rsidRPr="00C56287">
        <w:rPr>
          <w:rFonts w:asciiTheme="minorHAnsi" w:hAnsiTheme="minorHAnsi"/>
          <w:lang w:val="fr-FR"/>
        </w:rPr>
        <w:t xml:space="preserve">. 201-203.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07" w:rsidRDefault="00A8327F" w:rsidP="00F25361">
    <w:pPr>
      <w:pStyle w:val="ab"/>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65C496E7"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FFED100"/>
    <w:lvl w:ilvl="0">
      <w:numFmt w:val="bullet"/>
      <w:lvlText w:val="*"/>
      <w:lvlJc w:val="left"/>
    </w:lvl>
  </w:abstractNum>
  <w:abstractNum w:abstractNumId="1" w15:restartNumberingAfterBreak="0">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15:restartNumberingAfterBreak="0">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15:restartNumberingAfterBreak="0">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15:restartNumberingAfterBreak="0">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15:restartNumberingAfterBreak="0">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15:restartNumberingAfterBreak="0">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15:restartNumberingAfterBreak="0">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0" w15:restartNumberingAfterBreak="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15:restartNumberingAfterBreak="0">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15:restartNumberingAfterBreak="0">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15:restartNumberingAfterBreak="0">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15:restartNumberingAfterBreak="0">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15:restartNumberingAfterBreak="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15:restartNumberingAfterBreak="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15:restartNumberingAfterBreak="0">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6"/>
  </w:num>
  <w:num w:numId="7">
    <w:abstractNumId w:val="30"/>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8"/>
  </w:num>
  <w:num w:numId="19">
    <w:abstractNumId w:val="11"/>
  </w:num>
  <w:num w:numId="20">
    <w:abstractNumId w:val="34"/>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1"/>
  </w:num>
  <w:num w:numId="27">
    <w:abstractNumId w:val="37"/>
  </w:num>
  <w:num w:numId="28">
    <w:abstractNumId w:val="4"/>
  </w:num>
  <w:num w:numId="29">
    <w:abstractNumId w:val="39"/>
  </w:num>
  <w:num w:numId="30">
    <w:abstractNumId w:val="32"/>
  </w:num>
  <w:num w:numId="31">
    <w:abstractNumId w:val="26"/>
  </w:num>
  <w:num w:numId="32">
    <w:abstractNumId w:val="10"/>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29"/>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25E6C"/>
    <w:rsid w:val="001509F1"/>
    <w:rsid w:val="00156ABF"/>
    <w:rsid w:val="00165B78"/>
    <w:rsid w:val="0017308B"/>
    <w:rsid w:val="001D479D"/>
    <w:rsid w:val="001E332E"/>
    <w:rsid w:val="00224459"/>
    <w:rsid w:val="002312E0"/>
    <w:rsid w:val="00251B16"/>
    <w:rsid w:val="00251F93"/>
    <w:rsid w:val="002962FE"/>
    <w:rsid w:val="002A411D"/>
    <w:rsid w:val="002C12EC"/>
    <w:rsid w:val="00304734"/>
    <w:rsid w:val="003138D2"/>
    <w:rsid w:val="00330C19"/>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00B00"/>
    <w:rsid w:val="00610FD2"/>
    <w:rsid w:val="00620220"/>
    <w:rsid w:val="00622D8C"/>
    <w:rsid w:val="0062321E"/>
    <w:rsid w:val="006244CF"/>
    <w:rsid w:val="00631ED6"/>
    <w:rsid w:val="0066673F"/>
    <w:rsid w:val="00670635"/>
    <w:rsid w:val="00670806"/>
    <w:rsid w:val="00681616"/>
    <w:rsid w:val="006A77FC"/>
    <w:rsid w:val="006B1DB3"/>
    <w:rsid w:val="006B5BB0"/>
    <w:rsid w:val="006C74D6"/>
    <w:rsid w:val="006E09FB"/>
    <w:rsid w:val="006E3DF7"/>
    <w:rsid w:val="006E5B1A"/>
    <w:rsid w:val="006F2B13"/>
    <w:rsid w:val="007548FB"/>
    <w:rsid w:val="00765CFA"/>
    <w:rsid w:val="00771088"/>
    <w:rsid w:val="00794F0C"/>
    <w:rsid w:val="00796961"/>
    <w:rsid w:val="00797D0C"/>
    <w:rsid w:val="007A0072"/>
    <w:rsid w:val="007A718D"/>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42712"/>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41BBD6-7E5D-4F77-9D88-4D2BB6CE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footnote text"/>
    <w:basedOn w:val="a"/>
    <w:link w:val="Char4"/>
    <w:unhideWhenUsed/>
    <w:rsid w:val="00821300"/>
    <w:pPr>
      <w:spacing w:after="0" w:line="240" w:lineRule="auto"/>
    </w:pPr>
    <w:rPr>
      <w:sz w:val="20"/>
      <w:szCs w:val="20"/>
    </w:rPr>
  </w:style>
  <w:style w:type="character" w:customStyle="1" w:styleId="Char4">
    <w:name w:val="Κείμενο υποσημείωσης Char"/>
    <w:basedOn w:val="a0"/>
    <w:link w:val="af0"/>
    <w:rsid w:val="00821300"/>
    <w:rPr>
      <w:rFonts w:ascii="Arial" w:eastAsiaTheme="minorEastAsia" w:hAnsi="Arial"/>
      <w:sz w:val="20"/>
      <w:szCs w:val="20"/>
      <w:lang w:bidi="en-US"/>
    </w:rPr>
  </w:style>
  <w:style w:type="character" w:styleId="af1">
    <w:name w:val="footnote reference"/>
    <w:basedOn w:val="a0"/>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F75DCD-AF19-43A7-AE4A-3F228524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7323</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Άσκηση 1: Πρώτη Επαφή με την Πολεοδομία</vt:lpstr>
      <vt:lpstr>Άσκηση 1: Πρώτη Επαφή με την Πολεοδομία</vt:lpstr>
    </vt:vector>
  </TitlesOfParts>
  <Company>BLACK EDITION - tum0r</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User</cp:lastModifiedBy>
  <cp:revision>3</cp:revision>
  <dcterms:created xsi:type="dcterms:W3CDTF">2015-07-27T19:27:00Z</dcterms:created>
  <dcterms:modified xsi:type="dcterms:W3CDTF">2015-07-27T19:28:00Z</dcterms:modified>
</cp:coreProperties>
</file>