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9B6FAA"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9B6FAA">
        <w:rPr>
          <w:rFonts w:asciiTheme="minorHAnsi" w:hAnsiTheme="minorHAnsi" w:cs="Arial"/>
          <w:b/>
          <w:bCs/>
          <w:sz w:val="24"/>
          <w:szCs w:val="24"/>
          <w:lang w:val="el-GR"/>
        </w:rPr>
        <w:t>6</w:t>
      </w:r>
      <w:r w:rsidR="00B3399D" w:rsidRPr="00622D8C">
        <w:rPr>
          <w:rFonts w:asciiTheme="minorHAnsi" w:hAnsiTheme="minorHAnsi" w:cs="Arial"/>
          <w:b/>
          <w:bCs/>
          <w:sz w:val="24"/>
          <w:szCs w:val="24"/>
          <w:lang w:val="el-GR"/>
        </w:rPr>
        <w:t xml:space="preserve">: </w:t>
      </w:r>
      <w:r w:rsidR="009B6FAA" w:rsidRPr="009B6FAA">
        <w:rPr>
          <w:rFonts w:asciiTheme="minorHAnsi" w:eastAsia="Times New Roman" w:hAnsiTheme="minorHAnsi" w:cs="Times New Roman"/>
          <w:color w:val="000000"/>
          <w:sz w:val="24"/>
          <w:szCs w:val="20"/>
          <w:lang w:val="el-GR" w:eastAsia="el-GR" w:bidi="ar-SA"/>
        </w:rPr>
        <w:t>Χορηγία για την τουριστική ανάπτυξη και προβολή της Ελλάδας</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93068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A8327F" w:rsidRDefault="00D60CDB" w:rsidP="009A37DA">
      <w:pPr>
        <w:spacing w:after="0" w:line="240" w:lineRule="auto"/>
        <w:rPr>
          <w:rFonts w:ascii="Times New Roman" w:eastAsia="Times New Roman" w:hAnsi="Times New Roman" w:cs="Times New Roman"/>
          <w:color w:val="000000"/>
          <w:sz w:val="24"/>
          <w:szCs w:val="20"/>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4"/>
          <w:lang w:val="el-GR" w:eastAsia="el-GR" w:bidi="ar-SA"/>
        </w:rPr>
      </w:pPr>
      <w:r w:rsidRPr="0059426C">
        <w:rPr>
          <w:rFonts w:asciiTheme="minorHAnsi" w:eastAsia="Times New Roman" w:hAnsiTheme="minorHAnsi" w:cs="Times New Roman"/>
          <w:b/>
          <w:sz w:val="24"/>
          <w:szCs w:val="24"/>
          <w:lang w:val="el-GR" w:eastAsia="el-GR" w:bidi="ar-SA"/>
        </w:rPr>
        <w:lastRenderedPageBreak/>
        <w:t xml:space="preserve">7.1 Συνταγματική προσέγγιση της χωροταξικής και πολεοδομικής αρμοδιότητας </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Τα οικιστικά πολιτιστικά αγαθά (κτίρια, πόλεις κλπ.) προστατεύονται γενικά ως μέρος του πολιτιστικού  περιβάλλοντος στο άρθρο 24 του Συντάγματος και συνδέονται με την αρμοδιότητα της Πολιτείας να σχεδιάζει το χώρο, τόσο σε ευρύτερο επίπεδο (χωροταξικός σχεδιασμός) όσο και σε εκείνο των αστικών και αγροτικών περιοχών (πολεοδομικός σχεδιασμός). Στο επίπεδο του χωροταξικού προγραμματισμού σημειώνονται σημαντικές εξελίξεις στην ελληνική έννομη τάξη, με πιο πρόσφατη αυτή των εθνικού επιπέδου χωροταξικών πλαισίων</w:t>
      </w:r>
      <w:r w:rsidRPr="0059426C">
        <w:rPr>
          <w:rFonts w:asciiTheme="minorHAnsi" w:eastAsia="Times New Roman" w:hAnsiTheme="minorHAnsi" w:cs="Times New Roman"/>
          <w:sz w:val="24"/>
          <w:szCs w:val="24"/>
          <w:vertAlign w:val="superscript"/>
          <w:lang w:val="el-GR" w:eastAsia="el-GR" w:bidi="ar-SA"/>
        </w:rPr>
        <w:footnoteReference w:id="1"/>
      </w:r>
      <w:r>
        <w:rPr>
          <w:rFonts w:asciiTheme="minorHAnsi" w:eastAsia="Times New Roman" w:hAnsiTheme="minorHAnsi" w:cs="Times New Roman"/>
          <w:sz w:val="24"/>
          <w:szCs w:val="24"/>
          <w:lang w:val="el-GR" w:eastAsia="el-GR" w:bidi="ar-SA"/>
        </w:rPr>
        <w:t>.</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Σύμφωνα με την παρ. 2 του άρθρου 24 του Συντάγματος στη ρυθμιστική αρμοδιότητα του Κράτους και στον έλεγχό του υπάγονται η χωροταξική αναδιάρθρωση της Χώρας, η διαμόρφωση, η ανάπτυξη, η πολεοδόμηση και η επέκταση των πόλεων και των οικιστικών γενικά περιοχών. Ο εξυπηρετούμενος από την Πολιτεία σκοπός είναι διττός, η λειτουργικότητα και η ανάπτυξη των οικισμών καθώς και οι καλύτεροι δυνατοί όροι διαβίωσης.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Για την αναθεώρηση, που τελικά ολοκληρώθηκε το 2008 χωρίς αλλαγές στο άρθρο αυτό, είχε προταθεί μεταξύ άλλων ο συνταγματικός σκοπός της εξασφάλισης της λειτουργικότητας της οικιστικής περιοχής, τον οποίο εκφράζει η Χάρτα των Αθηνών του 1933, να αντικατασταθεί από το σκοπό «της εξασφάλισης της βιώσιμης οικιστικής ανάπτυξης»</w:t>
      </w:r>
      <w:r w:rsidRPr="0059426C">
        <w:rPr>
          <w:rFonts w:asciiTheme="minorHAnsi" w:eastAsia="Times New Roman" w:hAnsiTheme="minorHAnsi" w:cs="Times New Roman"/>
          <w:sz w:val="24"/>
          <w:szCs w:val="24"/>
          <w:vertAlign w:val="superscript"/>
          <w:lang w:val="el-GR" w:eastAsia="el-GR" w:bidi="ar-SA"/>
        </w:rPr>
        <w:footnoteReference w:id="2"/>
      </w:r>
      <w:r w:rsidRPr="0059426C">
        <w:rPr>
          <w:rFonts w:asciiTheme="minorHAnsi" w:eastAsia="Times New Roman" w:hAnsiTheme="minorHAnsi" w:cs="Times New Roman"/>
          <w:sz w:val="24"/>
          <w:szCs w:val="24"/>
          <w:lang w:val="el-GR" w:eastAsia="el-GR" w:bidi="ar-SA"/>
        </w:rPr>
        <w:t xml:space="preserve">.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Είναι αξιοσημείωτο ότι η συνταγματική κατοχύρωση στα 2001 της αρχής της </w:t>
      </w:r>
      <w:proofErr w:type="spellStart"/>
      <w:r w:rsidRPr="0059426C">
        <w:rPr>
          <w:rFonts w:asciiTheme="minorHAnsi" w:eastAsia="Times New Roman" w:hAnsiTheme="minorHAnsi" w:cs="Times New Roman"/>
          <w:sz w:val="24"/>
          <w:szCs w:val="24"/>
          <w:lang w:val="el-GR" w:eastAsia="el-GR" w:bidi="ar-SA"/>
        </w:rPr>
        <w:t>αειφορίας</w:t>
      </w:r>
      <w:proofErr w:type="spellEnd"/>
      <w:r w:rsidRPr="0059426C">
        <w:rPr>
          <w:rFonts w:asciiTheme="minorHAnsi" w:eastAsia="Times New Roman" w:hAnsiTheme="minorHAnsi" w:cs="Times New Roman"/>
          <w:sz w:val="24"/>
          <w:szCs w:val="24"/>
          <w:lang w:val="el-GR" w:eastAsia="el-GR" w:bidi="ar-SA"/>
        </w:rPr>
        <w:t xml:space="preserve"> για τα κρατικά μέτρα προστασίας του περιβάλλοντος έχει δημιουργήσει νέα δεδομένα για τον πολεοδομικό σχεδιασμό. Ο λόγος είναι ότι η αειφόρος (ή κατά μετάφραση από τα αγγλικά, βιώσιμη) ανάπτυξη δεν εστιάζει αποκλειστικά στη βιωσιμότητα του περιβάλλοντος αλλά και στην ικανοποίηση των οικονομικών και </w:t>
      </w:r>
      <w:r w:rsidRPr="0059426C">
        <w:rPr>
          <w:rFonts w:asciiTheme="minorHAnsi" w:eastAsia="Times New Roman" w:hAnsiTheme="minorHAnsi" w:cs="Times New Roman"/>
          <w:sz w:val="24"/>
          <w:szCs w:val="24"/>
          <w:lang w:val="el-GR" w:eastAsia="el-GR" w:bidi="ar-SA"/>
        </w:rPr>
        <w:lastRenderedPageBreak/>
        <w:t xml:space="preserve">κοινωνικών αναγκών των ατόμων. Πέρα από την αυτονόητη επιταγή για διασφάλιση της λειτουργίας του υλικού περιβάλλοντος στο διηνεκές, περιλαμβάνεται και η απαίτηση για κάλυψη των αναγκών των ίδιων των ανθρώπων, σε τομείς προσδιορισμένους με οικονομικούς και κοινωνικούς όρους, όπως είναι λόγου χάρη η ανεργία, η απασχόληση, ο κοινωνικός αποκλεισμός. Έτσι αναδεικνύεται ο ανθρωποκεντρικός χαρακτήρας της πόλης, ο οποίος συνεπάγεται σχεδιασμό με περιεχόμενο όχι μόνο φυσικό αλλά και οικονομικό και κοινωνικό.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Μάλιστα, και ο συνταγματικός σκοπός της εξασφάλισης των καλύτερων δυνατών όρων διαβίωσης δεν εξαντλείται στη φυσική διαβίωση αλλά εστιάζει σε μία σφαιρικά ποιοτική ζήση. Ο ολοκληρωμένος χαρακτήρας (περιβαλλοντικός - φυσικός  και κοινωνικοοικονομικός) της αειφόρου ανάπτυξης συνδυάζεται λοιπόν με την απαίτηση για τη βέλτιστη ποιότητα ζωής των ανθρώπων σε όλες τους τις αναφορές.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Οι πόλεις και γενικότερα οι οικισμοί προστατεύονται ως ενιαίος χώρος και κάθε παρέμβαση σε αυτούς πρέπει να είναι τέτοια ώστε να διαμορφώνεται πλαίσιο για άνετη και δημιουργική διαβίωση των κατοίκων για τους νέους οικισμούς και να μην προσβάλλεται το «πολεοδομικό κεκτημένο», δηλαδή τουλάχιστον να μη χειροτερεύουν οι όροι διαβίωσης των κατοίκων. Η προστασία αυτή είναι γενική και στηρίζεται στην παρ. 1 του άρθρου 24 του Συντάγματος, εφόσον δεν πρόκειται για οικισμό με παραδοσιακό χαρακτήρα, οπότε προκύπτει ιδιαίτερη συνταγματική προστασία.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Είναι επίσης αξιοσημείωτο ότι η διατήρηση των κοινόχρηστων χώρων (των χώρων που αφήνονται στην ελεύθερη χρήση των πολιτών και δεν επιτρέπεται να οικοδομηθούν για οποιαδήποτε χρήση, π.χ. οδοί, πλατείες, άλση, κήποι) κατοχυρώνεται από το Σύνταγμα. Δεν χωρεί η καταστροφή ή ελάττωσή τους ακόμη και για την εκπλήρωση οποιουδήποτε δημόσιου και γενικά κοινωφελούς σκοπού διότι αυτή θα είχε δυσμενή επίδραση στη διαβίωση των πολιτών. Κατ’ εξαίρεση επιτρέπεται η απώλεια συγκεκριμένου κοινόχρηστου χώρου ενός οικισμού για λόγους προστασίας άλλου συνταγματικού αγαθού, όπως η ιδιοκτησία, εφόσον συντρέχουν ορισμένες προϋποθέσεις. Για παράδειγμα, είναι δυνατή η μείωση του </w:t>
      </w:r>
      <w:r w:rsidRPr="0059426C">
        <w:rPr>
          <w:rFonts w:asciiTheme="minorHAnsi" w:eastAsia="Times New Roman" w:hAnsiTheme="minorHAnsi" w:cs="Times New Roman"/>
          <w:sz w:val="24"/>
          <w:szCs w:val="24"/>
          <w:lang w:val="el-GR" w:eastAsia="el-GR" w:bidi="ar-SA"/>
        </w:rPr>
        <w:lastRenderedPageBreak/>
        <w:t xml:space="preserve">κοινόχρηστου χώρου με τη μετατροπή του σε ιδιωτικό και επομένως οικοδομήσιμο χώρο στην περίπτωση της άρσης της αναγκαστικής απαλλοτρίωσης.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Επίσης, η με παρέμβαση της Διοίκησης μετατροπή ενός κοινόχρηστου χώρου σε ιδιωτικό ή κοινωφελή δεν θα πρέπει να θεωρείται αυτόματα ότι συνιστά επιδείνωση των όρων διαβίωσης, όπως δέχεται το Συμβούλιο της Επικρατείας, αλλά να συνεκτιμώνται και άλλοι παράγοντες, όπως π.χ. η σχέση κοινόχρηστων και ιδιωτικών χώρων, η εξυπηρέτηση ή όχι του εθνικού συμφέροντος, σε σχέση με τη συνολική επιβάρυνση, η ικανοποίηση και των άλλων, πλην της καλής φυσικής διαβίωσης, αναγκών (κοινωνικών και οικονομικών) των κατοίκων κλπ., προκειμένου να κριθεί αν υπάρχει ή όχι επιδείνωση των όρων της συνολικής και όχι μόνο φυσικής διαβίωσης των πολιτών</w:t>
      </w:r>
      <w:r w:rsidRPr="0059426C">
        <w:rPr>
          <w:rFonts w:asciiTheme="minorHAnsi" w:eastAsia="Times New Roman" w:hAnsiTheme="minorHAnsi" w:cs="Times New Roman"/>
          <w:sz w:val="24"/>
          <w:szCs w:val="24"/>
          <w:vertAlign w:val="superscript"/>
          <w:lang w:val="el-GR" w:eastAsia="el-GR" w:bidi="ar-SA"/>
        </w:rPr>
        <w:footnoteReference w:id="3"/>
      </w:r>
      <w:r w:rsidRPr="0059426C">
        <w:rPr>
          <w:rFonts w:asciiTheme="minorHAnsi" w:eastAsia="Times New Roman" w:hAnsiTheme="minorHAnsi" w:cs="Times New Roman"/>
          <w:sz w:val="24"/>
          <w:szCs w:val="24"/>
          <w:lang w:val="el-GR" w:eastAsia="el-GR" w:bidi="ar-SA"/>
        </w:rPr>
        <w:t xml:space="preserve">.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4"/>
          <w:lang w:val="el-GR" w:eastAsia="el-GR" w:bidi="ar-SA"/>
        </w:rPr>
      </w:pPr>
      <w:r w:rsidRPr="0059426C">
        <w:rPr>
          <w:rFonts w:asciiTheme="minorHAnsi" w:eastAsia="Times New Roman" w:hAnsiTheme="minorHAnsi" w:cs="Times New Roman"/>
          <w:b/>
          <w:sz w:val="24"/>
          <w:szCs w:val="24"/>
          <w:lang w:val="el-GR" w:eastAsia="el-GR" w:bidi="ar-SA"/>
        </w:rPr>
        <w:t xml:space="preserve">7.2. Θέσπιση και περιεχόμενο του Γενικού Πλαισίου Χωροταξικού Σχεδιασμού και Αειφόρου Ανάπτυξης </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Η Ολομέλεια του κοινοβουλίου συζήτησε και ενέκρινε κατά τον Ιούνιο 2008 το «Γενικό Πλαίσιο Χωροταξικού Σχεδιασμού και Αειφόρου Ανάπτυξης»</w:t>
      </w:r>
      <w:r w:rsidRPr="0059426C">
        <w:rPr>
          <w:rFonts w:asciiTheme="minorHAnsi" w:eastAsia="Times New Roman" w:hAnsiTheme="minorHAnsi" w:cs="Times New Roman"/>
          <w:sz w:val="24"/>
          <w:szCs w:val="24"/>
          <w:vertAlign w:val="superscript"/>
          <w:lang w:val="el-GR" w:eastAsia="el-GR" w:bidi="ar-SA"/>
        </w:rPr>
        <w:footnoteReference w:id="4"/>
      </w:r>
      <w:r w:rsidRPr="0059426C">
        <w:rPr>
          <w:rFonts w:asciiTheme="minorHAnsi" w:eastAsia="Times New Roman" w:hAnsiTheme="minorHAnsi" w:cs="Times New Roman"/>
          <w:sz w:val="24"/>
          <w:szCs w:val="24"/>
          <w:lang w:val="el-GR" w:eastAsia="el-GR" w:bidi="ar-SA"/>
        </w:rPr>
        <w:t xml:space="preserve">, σύμφωνα με τη διάταξη του άρθρου 79 παρ. 8 του Συντάγματος, κατά την οποία τα προγράμματα οικονομικής και κοινωνικής ανάπτυξης εγκρίνονται από την Ολομέλεια της Βουλής.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Αυτό το εθνικής εμβέλειας πρόγραμμα κατευθύνσεων, το οποίο στηρίζεται στη σχετική  εξουσιοδότηση του άρθρου 6 του Ν. 2472/1999, ισχύει από τις 03.07.2008.</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Ειδικότερα, αυτή η πράξη εγκρίθηκε τον Ιούλιο του 2008 «σύμφωνα» και κατ’ επίκληση της διάταξης του άρθρου 79 παρ. 8 του Συντάγματος, χωρίς όμως προϋπολογιστική υποστήριξη και χωρίς την τήρηση της προβλεπόμενης διαδικασίας έγκρισης από την Ολομέλεια της Βουλής, του εκτελεστικού Ν. 503/1976. Εκτιμάται ότι επειδή η αναφορά του Ν. 2472/1999 στην κατ’ εσφαλμένη ερμηνεία και υπαγωγή του νομοθέτη διάταξη του άρθρου 79 παρ. 8 του Συντάγματος αφορά τη </w:t>
      </w:r>
      <w:r w:rsidRPr="0059426C">
        <w:rPr>
          <w:rFonts w:asciiTheme="minorHAnsi" w:eastAsia="Times New Roman" w:hAnsiTheme="minorHAnsi" w:cs="Times New Roman"/>
          <w:sz w:val="24"/>
          <w:szCs w:val="24"/>
          <w:lang w:val="el-GR" w:eastAsia="el-GR" w:bidi="ar-SA"/>
        </w:rPr>
        <w:lastRenderedPageBreak/>
        <w:t>διαδικασία παραγωγής του Γενικού Πλαισίου από το νομοθετικό όργανο, δηλαδή την τυπικότητα της πράξης, η τηρούμενη από τη Βουλή διαδικασία θέσπισης του Γενικού Πλαισίου, ως προς τη συνεδρία σε Ολομέλεια (αντί Τμήματος) και ως προς την έγκριση, αντί της ψήφισης, παραμένει συνταγματικά ισχυρή ως «</w:t>
      </w:r>
      <w:proofErr w:type="spellStart"/>
      <w:r w:rsidRPr="0059426C">
        <w:rPr>
          <w:rFonts w:asciiTheme="minorHAnsi" w:eastAsia="Times New Roman" w:hAnsiTheme="minorHAnsi" w:cs="Times New Roman"/>
          <w:sz w:val="24"/>
          <w:szCs w:val="24"/>
          <w:lang w:val="el-GR" w:eastAsia="el-GR" w:bidi="ar-SA"/>
        </w:rPr>
        <w:t>interna</w:t>
      </w:r>
      <w:proofErr w:type="spellEnd"/>
      <w:r w:rsidRPr="0059426C">
        <w:rPr>
          <w:rFonts w:asciiTheme="minorHAnsi" w:eastAsia="Times New Roman" w:hAnsiTheme="minorHAnsi" w:cs="Times New Roman"/>
          <w:sz w:val="24"/>
          <w:szCs w:val="24"/>
          <w:lang w:val="el-GR" w:eastAsia="el-GR" w:bidi="ar-SA"/>
        </w:rPr>
        <w:t xml:space="preserve"> </w:t>
      </w:r>
      <w:proofErr w:type="spellStart"/>
      <w:r w:rsidRPr="0059426C">
        <w:rPr>
          <w:rFonts w:asciiTheme="minorHAnsi" w:eastAsia="Times New Roman" w:hAnsiTheme="minorHAnsi" w:cs="Times New Roman"/>
          <w:sz w:val="24"/>
          <w:szCs w:val="24"/>
          <w:lang w:val="el-GR" w:eastAsia="el-GR" w:bidi="ar-SA"/>
        </w:rPr>
        <w:t>corporis</w:t>
      </w:r>
      <w:proofErr w:type="spellEnd"/>
      <w:r w:rsidRPr="0059426C">
        <w:rPr>
          <w:rFonts w:asciiTheme="minorHAnsi" w:eastAsia="Times New Roman" w:hAnsiTheme="minorHAnsi" w:cs="Times New Roman"/>
          <w:sz w:val="24"/>
          <w:szCs w:val="24"/>
          <w:lang w:val="el-GR" w:eastAsia="el-GR" w:bidi="ar-SA"/>
        </w:rPr>
        <w:t>» αρμοδιότητά της και δεν επηρεάζει τα εξωτερικά στοιχεία της πράξης</w:t>
      </w:r>
      <w:r w:rsidRPr="0059426C">
        <w:rPr>
          <w:rFonts w:asciiTheme="minorHAnsi" w:eastAsia="Times New Roman" w:hAnsiTheme="minorHAnsi" w:cs="Times New Roman"/>
          <w:sz w:val="24"/>
          <w:szCs w:val="24"/>
          <w:vertAlign w:val="superscript"/>
          <w:lang w:val="el-GR" w:eastAsia="el-GR" w:bidi="ar-SA"/>
        </w:rPr>
        <w:footnoteReference w:id="5"/>
      </w:r>
      <w:r w:rsidRPr="0059426C">
        <w:rPr>
          <w:rFonts w:asciiTheme="minorHAnsi" w:eastAsia="Times New Roman" w:hAnsiTheme="minorHAnsi" w:cs="Times New Roman"/>
          <w:sz w:val="24"/>
          <w:szCs w:val="24"/>
          <w:lang w:val="el-GR" w:eastAsia="el-GR" w:bidi="ar-SA"/>
        </w:rPr>
        <w:t xml:space="preserve">.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Το Πλαίσιο  ικανοποιεί καθυστερημένα την επιταγή του άρθρου 24 παρ. 2 του Συντάγματος για χωροταξική αναδιάρθρωση της Χώρας, επιταγή που υπήρχε ήδη στο συνταγματικό κείμενο του 1975, με στόχο τη διαμόρφωση ενός χωρικού προτύπου ανάπτυξης στο πλαίσιο της μοντέρνας και δυναμικής αρχής της </w:t>
      </w:r>
      <w:proofErr w:type="spellStart"/>
      <w:r w:rsidRPr="0059426C">
        <w:rPr>
          <w:rFonts w:asciiTheme="minorHAnsi" w:eastAsia="Times New Roman" w:hAnsiTheme="minorHAnsi" w:cs="Times New Roman"/>
          <w:sz w:val="24"/>
          <w:szCs w:val="24"/>
          <w:lang w:val="el-GR" w:eastAsia="el-GR" w:bidi="ar-SA"/>
        </w:rPr>
        <w:t>αειφορίας</w:t>
      </w:r>
      <w:proofErr w:type="spellEnd"/>
      <w:r w:rsidRPr="0059426C">
        <w:rPr>
          <w:rFonts w:asciiTheme="minorHAnsi" w:eastAsia="Times New Roman" w:hAnsiTheme="minorHAnsi" w:cs="Times New Roman"/>
          <w:sz w:val="24"/>
          <w:szCs w:val="24"/>
          <w:lang w:val="el-GR" w:eastAsia="el-GR" w:bidi="ar-SA"/>
        </w:rPr>
        <w:t xml:space="preserve">. Συνοδεύεται από τη μετέπειτα έγκριση σημαντικών Ειδικών Πλαισίων Χωροταξικού Σχεδιασμού και Αειφόρου Ανάπτυξης, όπως για τις Ανανεώσιμες Πηγές Ενέργειας (Α.Π.Ε.).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Μέσω του γενικού εθνικού χωροταξικού σχεδιασμού επιδιώκεται ένα σαφέστερο πλαίσιο ανάπτυξης, για τις αρχές που είναι αρμόδιες για την έκδοση αδειών και για  τις επιχειρήσεις έτσι ώστε να προσανατολιστούν σε καταρχήν κατάλληλες από χωροταξικής απόψεως περιοχές εγκατάστασης και να περιορίσουν τις αβεβαιότητες και τις συγκρούσεις χρήσεων γης που συχνά αναφύονται επί του πεδίου.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Το Συμβούλιο της Επικρατείας έχει αποτελέσει ανασταλτικό παράγοντα για πολλά επενδυτικά έργα, όπως η κατασκευή λιμένων, η εγκατάσταση ιχθυοτροφείων, η εγκατάσταση βιομηχανιών και ξενοδοχειακών μονάδων</w:t>
      </w:r>
      <w:r w:rsidRPr="0059426C">
        <w:rPr>
          <w:rFonts w:asciiTheme="minorHAnsi" w:eastAsia="Times New Roman" w:hAnsiTheme="minorHAnsi" w:cs="Times New Roman"/>
          <w:sz w:val="24"/>
          <w:szCs w:val="24"/>
          <w:vertAlign w:val="superscript"/>
          <w:lang w:val="el-GR" w:eastAsia="el-GR" w:bidi="ar-SA"/>
        </w:rPr>
        <w:footnoteReference w:id="6"/>
      </w:r>
      <w:r w:rsidRPr="0059426C">
        <w:rPr>
          <w:rFonts w:asciiTheme="minorHAnsi" w:eastAsia="Times New Roman" w:hAnsiTheme="minorHAnsi" w:cs="Times New Roman"/>
          <w:sz w:val="24"/>
          <w:szCs w:val="24"/>
          <w:lang w:val="el-GR" w:eastAsia="el-GR" w:bidi="ar-SA"/>
        </w:rPr>
        <w:t xml:space="preserve">. Έχει διατυπώσει εξάλλου αρκετές αρχές χωροταξικού χαρακτήρα, όπως είναι η αρχή της ήπιας ανάπτυξης των ευπαθών οικοσυστημάτων, δηλαδή των δασών, των ακτών, των μικρών νησιών, και έχει θέσει όρια στην οικονομική και οικιστική ανάπτυξη περιοχών με βάση τη «φέρουσα ικανότητά» τους, έννοια που η νομολογία καθιέρωσε ως νομική αρχή. Έτσι τέθηκαν φραγμοί στις επενδύσεις, άλλοτε εύλογοι έναντι της άναρχης και </w:t>
      </w:r>
      <w:r w:rsidRPr="0059426C">
        <w:rPr>
          <w:rFonts w:asciiTheme="minorHAnsi" w:eastAsia="Times New Roman" w:hAnsiTheme="minorHAnsi" w:cs="Times New Roman"/>
          <w:sz w:val="24"/>
          <w:szCs w:val="24"/>
          <w:lang w:val="el-GR" w:eastAsia="el-GR" w:bidi="ar-SA"/>
        </w:rPr>
        <w:lastRenderedPageBreak/>
        <w:t>περιβαλλοντικά εχθρικής ανάπτυξης και άλλοτε όχι, καθώς κάποιες δικαστικές αποφάσεις επικρίθηκαν για την αυστηρότητά τους. Σε κάθε περίπτωση, η νομολογία αυτή είχε ως αποτέλεσμα να επιταχυνθούν οι διαδικασίες έγκρισης του Γενικού Πλαισίου και των Ειδικών.</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Εκτιμάται ότι με την ολοκλήρωση του χωροταξικού σχεδιασμού, δεν θα έχουν πλέον αντικείμενο πολλές από τις λύσεις που υιοθετήθηκαν από τη νομολογία, η οποία διαμορφώθηκε σε καθεστώς ουσιαστικής ανυπαρξίας χωροταξικού σχεδιασμού έως το 2003 και ατελούς σχεδιασμού μετά το έτος αυτό, κατά το οποίο εγκρίθηκαν μόνο περιφερειακά χωροταξικά σχέδια και μάλιστα κατά τρόπο ανορθόδοξο, αφού δεν είχε προηγηθεί η κατάρτιση του εθνικού χωροταξικού σχεδίου που θα αποτελούσε το πλαίσιο για τον περιφερειακό σχεδιασμό</w:t>
      </w:r>
      <w:r w:rsidRPr="0059426C">
        <w:rPr>
          <w:rFonts w:asciiTheme="minorHAnsi" w:eastAsia="Times New Roman" w:hAnsiTheme="minorHAnsi" w:cs="Times New Roman"/>
          <w:sz w:val="24"/>
          <w:szCs w:val="24"/>
          <w:vertAlign w:val="superscript"/>
          <w:lang w:val="el-GR" w:eastAsia="el-GR" w:bidi="ar-SA"/>
        </w:rPr>
        <w:footnoteReference w:id="7"/>
      </w:r>
      <w:r w:rsidRPr="0059426C">
        <w:rPr>
          <w:rFonts w:asciiTheme="minorHAnsi" w:eastAsia="Times New Roman" w:hAnsiTheme="minorHAnsi" w:cs="Times New Roman"/>
          <w:sz w:val="24"/>
          <w:szCs w:val="24"/>
          <w:lang w:val="el-GR" w:eastAsia="el-GR" w:bidi="ar-SA"/>
        </w:rPr>
        <w:t xml:space="preserve">.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Για το Γενικό Πλαίσιο έχουν εκφραστεί επιφυλάξεις και αντιδράσεις σχετικά με την έλλειψη ουσιαστικής διαβούλευσης με τους ενδιαφερόμενους φορείς και τους πολίτες καθώς και για το περιβαλλοντικό του περιεχόμενο. Δεν είναι άσχετο με αυτές τις αιτιάσεις το γεγονός ότι το Γενικό Πλαίσιο σε κάποια έκταση ανακυκλώνει παραδοσιακές «προκαταλήψεις» και «περιθωριοποιήσεις» αστικών κέντρων υπέρ άλλων. Τέτοια είναι η περίπτωση της Καλαμάτας, η οποία είναι θετικό ότι έχει μία ευδιάκριτη θέση συγκαταλεγόμενη στους δευτερεύοντες εθνικούς πόλους ανάπτυξης, αποτελώντας δίπολο με την Τρίπολη. Όμως, η  μεγαλύτερη πόλη της Περιφέρειας Πελοποννήσου, η οποία δεν έγινε και η πρωτεύουσά της, θα μπορούσε ίσως να συγκαταλέγεται μεταξύ των κύριων εθνικών πόλων ανάπτυξης (Πάτρα, δίπολο Λάρισα – Βόλος, Ηράκλειο, Ιωάννινα, δίπολο Κομοτηνή – Αλεξανδρούπολη), με τη μορφή </w:t>
      </w:r>
      <w:proofErr w:type="spellStart"/>
      <w:r w:rsidRPr="0059426C">
        <w:rPr>
          <w:rFonts w:asciiTheme="minorHAnsi" w:eastAsia="Times New Roman" w:hAnsiTheme="minorHAnsi" w:cs="Times New Roman"/>
          <w:sz w:val="24"/>
          <w:szCs w:val="24"/>
          <w:lang w:val="el-GR" w:eastAsia="el-GR" w:bidi="ar-SA"/>
        </w:rPr>
        <w:t>διπόλου</w:t>
      </w:r>
      <w:proofErr w:type="spellEnd"/>
      <w:r w:rsidRPr="0059426C">
        <w:rPr>
          <w:rFonts w:asciiTheme="minorHAnsi" w:eastAsia="Times New Roman" w:hAnsiTheme="minorHAnsi" w:cs="Times New Roman"/>
          <w:sz w:val="24"/>
          <w:szCs w:val="24"/>
          <w:lang w:val="el-GR" w:eastAsia="el-GR" w:bidi="ar-SA"/>
        </w:rPr>
        <w:t xml:space="preserve"> με την Πάτρα. Η θεώρηση της αναπτυξιακής της δυναμικής υποδηλώνει ένα συντηρητικό πνεύμα στη γενικότερη αναπτυξιακή πολιτική της Χώρας στο διεθνή περίγυρο καθώς θα μπορούσε να αναδειχθεί ως πόλη-πύλη ιδίως προς αφρικανικές χώρες.   </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lastRenderedPageBreak/>
        <w:t>Πάντως, είναι θετική η βασική επιλογή του Γενικού Πλαισίου για τη χωρική οργάνωση</w:t>
      </w:r>
      <w:r w:rsidRPr="0059426C">
        <w:rPr>
          <w:rFonts w:asciiTheme="minorHAnsi" w:eastAsia="Times New Roman" w:hAnsiTheme="minorHAnsi" w:cs="Times New Roman"/>
          <w:sz w:val="24"/>
          <w:szCs w:val="24"/>
          <w:vertAlign w:val="superscript"/>
          <w:lang w:val="el-GR" w:eastAsia="el-GR" w:bidi="ar-SA"/>
        </w:rPr>
        <w:footnoteReference w:id="8"/>
      </w:r>
      <w:r w:rsidRPr="0059426C">
        <w:rPr>
          <w:rFonts w:asciiTheme="minorHAnsi" w:eastAsia="Times New Roman" w:hAnsiTheme="minorHAnsi" w:cs="Times New Roman"/>
          <w:sz w:val="24"/>
          <w:szCs w:val="24"/>
          <w:lang w:val="el-GR" w:eastAsia="el-GR" w:bidi="ar-SA"/>
        </w:rPr>
        <w:t>. Συγκεκριμένα, για την προώθηση της κοινωνικής και οικονομικής συνοχής στο σύνολο του εθνικού χώρου και για την ενίσχυση της ανταγωνιστικότητάς του στο διεθνές περιβάλλον, επιδιώκεται η πολυκεντρική οργάνωσή του, αντί του παραδοσιακού διπολικού μοντέλου (Αθήνα – Θεσσαλονίκη).</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Εξάλλου, έμφαση δίνεται στην επιλογή για προώθηση της αρχής της «συμπαγούς πόλης» σε όλα τα επίπεδα χωρικού σχεδιασμού. Οι όποιες προτάσεις επεκτάσεων θα πρέπει να αιτιολογούνται τεκμηριωμένα στη βάση αντικειμενικών αναγκών (δημογραφικών, οικιστικών και παραγωγικών). Υιοθετείται η απαίτηση για αποφυγή της επέκτασης σε ένα περιβάλλον ήδη κορεσμένο καθώς θεωρείται ότι η κυριότερη απειλή για τη φυσική και πολιτιστική κληρονομιά είναι η κατανάλωση χώρου από την άναρχη οικιστική ανάπτυξη.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Εξάλλου, εύλογα καθιερώνεται η θεώρηση των μέσων σταθερής τροχιάς ως ραχοκοκαλιάς του συστήματος αστικών συγκοινωνιών</w:t>
      </w:r>
      <w:r w:rsidRPr="0059426C">
        <w:rPr>
          <w:rFonts w:asciiTheme="minorHAnsi" w:eastAsia="Times New Roman" w:hAnsiTheme="minorHAnsi" w:cs="Times New Roman"/>
          <w:sz w:val="24"/>
          <w:szCs w:val="24"/>
          <w:vertAlign w:val="superscript"/>
          <w:lang w:val="el-GR" w:eastAsia="el-GR" w:bidi="ar-SA"/>
        </w:rPr>
        <w:footnoteReference w:id="9"/>
      </w:r>
      <w:r w:rsidRPr="0059426C">
        <w:rPr>
          <w:rFonts w:asciiTheme="minorHAnsi" w:eastAsia="Times New Roman" w:hAnsiTheme="minorHAnsi" w:cs="Times New Roman"/>
          <w:sz w:val="24"/>
          <w:szCs w:val="24"/>
          <w:lang w:val="el-GR" w:eastAsia="el-GR" w:bidi="ar-SA"/>
        </w:rPr>
        <w:t xml:space="preserve"> ενώ επιδιώκεται η επέκταση των σιδηροδρομικών υπηρεσιών και των υπηρεσιών προαστιακού τύπου στις μητροπολιτικές περιοχές και εκεί όπου εμφανίζονται δυναμικά αστικά δίπολα (φαινόμενο «</w:t>
      </w:r>
      <w:r w:rsidRPr="0059426C">
        <w:rPr>
          <w:rFonts w:asciiTheme="minorHAnsi" w:eastAsia="Times New Roman" w:hAnsiTheme="minorHAnsi" w:cs="Times New Roman"/>
          <w:sz w:val="24"/>
          <w:szCs w:val="24"/>
          <w:lang w:eastAsia="el-GR" w:bidi="ar-SA"/>
        </w:rPr>
        <w:t>commuting</w:t>
      </w:r>
      <w:r w:rsidRPr="0059426C">
        <w:rPr>
          <w:rFonts w:asciiTheme="minorHAnsi" w:eastAsia="Times New Roman" w:hAnsiTheme="minorHAnsi" w:cs="Times New Roman"/>
          <w:sz w:val="24"/>
          <w:szCs w:val="24"/>
          <w:lang w:val="el-GR" w:eastAsia="el-GR" w:bidi="ar-SA"/>
        </w:rPr>
        <w:t>»)</w:t>
      </w:r>
      <w:r w:rsidRPr="0059426C">
        <w:rPr>
          <w:rFonts w:asciiTheme="minorHAnsi" w:eastAsia="Times New Roman" w:hAnsiTheme="minorHAnsi" w:cs="Times New Roman"/>
          <w:sz w:val="24"/>
          <w:szCs w:val="24"/>
          <w:vertAlign w:val="superscript"/>
          <w:lang w:val="el-GR" w:eastAsia="el-GR" w:bidi="ar-SA"/>
        </w:rPr>
        <w:footnoteReference w:id="10"/>
      </w:r>
      <w:r w:rsidRPr="0059426C">
        <w:rPr>
          <w:rFonts w:asciiTheme="minorHAnsi" w:eastAsia="Times New Roman" w:hAnsiTheme="minorHAnsi" w:cs="Times New Roman"/>
          <w:sz w:val="24"/>
          <w:szCs w:val="24"/>
          <w:lang w:val="el-GR" w:eastAsia="el-GR" w:bidi="ar-SA"/>
        </w:rPr>
        <w:t xml:space="preserve">.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4"/>
          <w:lang w:val="el-GR" w:eastAsia="el-GR" w:bidi="ar-SA"/>
        </w:rPr>
      </w:pPr>
      <w:r w:rsidRPr="0059426C">
        <w:rPr>
          <w:rFonts w:asciiTheme="minorHAnsi" w:eastAsia="Times New Roman" w:hAnsiTheme="minorHAnsi" w:cs="Times New Roman"/>
          <w:b/>
          <w:sz w:val="24"/>
          <w:szCs w:val="24"/>
          <w:lang w:val="el-GR" w:eastAsia="el-GR" w:bidi="ar-SA"/>
        </w:rPr>
        <w:t>7.3 Προσέγγιση της πολιτιστικής κληρονομιάς στο</w:t>
      </w:r>
      <w:r w:rsidRPr="0059426C">
        <w:rPr>
          <w:rFonts w:asciiTheme="minorHAnsi" w:eastAsia="Times New Roman" w:hAnsiTheme="minorHAnsi" w:cs="Times New Roman"/>
          <w:sz w:val="24"/>
          <w:szCs w:val="24"/>
          <w:lang w:val="el-GR" w:eastAsia="el-GR" w:bidi="ar-SA"/>
        </w:rPr>
        <w:t xml:space="preserve"> </w:t>
      </w:r>
      <w:r w:rsidRPr="0059426C">
        <w:rPr>
          <w:rFonts w:asciiTheme="minorHAnsi" w:eastAsia="Times New Roman" w:hAnsiTheme="minorHAnsi" w:cs="Times New Roman"/>
          <w:b/>
          <w:sz w:val="24"/>
          <w:szCs w:val="24"/>
          <w:lang w:val="el-GR" w:eastAsia="el-GR" w:bidi="ar-SA"/>
        </w:rPr>
        <w:t xml:space="preserve">Γενικό Πλαίσιο Χωροταξικού Σχεδιασμού και Αειφόρου Ανάπτυξης </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 Ο σχεδιασμός για την πολιτιστική κληρονομιά έχει μία σχεδόν περιθωριακή θέση στο Γενικό Πλαίσιο</w:t>
      </w:r>
      <w:r w:rsidRPr="0059426C">
        <w:rPr>
          <w:rFonts w:asciiTheme="minorHAnsi" w:eastAsia="Times New Roman" w:hAnsiTheme="minorHAnsi" w:cs="Times New Roman"/>
          <w:sz w:val="24"/>
          <w:szCs w:val="24"/>
          <w:vertAlign w:val="superscript"/>
          <w:lang w:val="el-GR" w:eastAsia="el-GR" w:bidi="ar-SA"/>
        </w:rPr>
        <w:footnoteReference w:id="11"/>
      </w:r>
      <w:r w:rsidRPr="0059426C">
        <w:rPr>
          <w:rFonts w:asciiTheme="minorHAnsi" w:eastAsia="Times New Roman" w:hAnsiTheme="minorHAnsi" w:cs="Times New Roman"/>
          <w:sz w:val="24"/>
          <w:szCs w:val="24"/>
          <w:lang w:val="el-GR" w:eastAsia="el-GR" w:bidi="ar-SA"/>
        </w:rPr>
        <w:t xml:space="preserve">. Οι κατευθύνσεις είναι περισσότερο στο επίπεδο της ευρείας αντίληψης των πραγμάτων παρά της εμβάθυνσης ενώ υπάρχουν και περιπτώσεις κατευθύνσεων οι οποίες τυπικά δεν εντάσσονται στην πολιτιστική πολιτική αλλά την αφορούν άμεσα, όπως εκείνη για την ηλεκτροδότηση. Ειδικότερα, σημαντική </w:t>
      </w:r>
      <w:r w:rsidRPr="0059426C">
        <w:rPr>
          <w:rFonts w:asciiTheme="minorHAnsi" w:eastAsia="Times New Roman" w:hAnsiTheme="minorHAnsi" w:cs="Times New Roman"/>
          <w:sz w:val="24"/>
          <w:szCs w:val="24"/>
          <w:lang w:val="el-GR" w:eastAsia="el-GR" w:bidi="ar-SA"/>
        </w:rPr>
        <w:lastRenderedPageBreak/>
        <w:t>είναι η επιλογή για «</w:t>
      </w:r>
      <w:proofErr w:type="spellStart"/>
      <w:r w:rsidRPr="0059426C">
        <w:rPr>
          <w:rFonts w:asciiTheme="minorHAnsi" w:eastAsia="Times New Roman" w:hAnsiTheme="minorHAnsi" w:cs="Times New Roman"/>
          <w:sz w:val="24"/>
          <w:szCs w:val="24"/>
          <w:lang w:val="el-GR" w:eastAsia="el-GR" w:bidi="ar-SA"/>
        </w:rPr>
        <w:t>υπογειοποίηση</w:t>
      </w:r>
      <w:proofErr w:type="spellEnd"/>
      <w:r w:rsidRPr="0059426C">
        <w:rPr>
          <w:rFonts w:asciiTheme="minorHAnsi" w:eastAsia="Times New Roman" w:hAnsiTheme="minorHAnsi" w:cs="Times New Roman"/>
          <w:sz w:val="24"/>
          <w:szCs w:val="24"/>
          <w:lang w:val="el-GR" w:eastAsia="el-GR" w:bidi="ar-SA"/>
        </w:rPr>
        <w:t xml:space="preserve">» των δικτύων διανομής ηλεκτρικής ενέργειας στους παραδοσιακούς οικισμούς και στους αρχαιολογικούς χώρους, με πρόβλεψη κατάλληλων χώρων για τους υποσταθμούς διανομής. Επίσης, επιδιώκεται η αποφυγή της διέλευσης των δικτύων μεταφοράς από αρχαιολογικούς χώρους και, κατά το δυνατόν, από περιοχές του Δικτύου Φύση (NATURA) 2000 και από  προστατευόμενα τοπία.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 </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Η Πολιτεία έχει να επιδείξει παραδοσιακά μία τάση περιθωριοποίησης σημαντικών μνημείων, πράγμα που δεν φαίνεται να λαμβάνεται υπόψη στο κείμενο αυτό.</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Οι κατευθύνσεις του πλαισίου εστιάζουν στην ανάδειξη και προστασία των μνημείων της πολιτιστικής κληρονομιάς εξασφαλίζοντας ταυτόχρονα την αξιοποίησή τους ως πόλων έλξης επισκεπτών με την κατάλληλη υποδομή πρόσβασης, τη λειτουργική σύνδεσή τους με τον περιβάλλοντα χώρο τους και τη σύνδεση των μνημείων μεταξύ τους ανά χωρική ενότητα. Η ρήτρα για τη χωρική συσχέτιση των μνημείων μίας ευρύτερης περιοχής είναι πολύ σημαντική αλλά δεν επιχειρείται η συγκεκριμενοποίησή της, πράγμα που υποδηλώνει την ατέλεια του πλαισίου. Σε κάθε περίπτωση, αποτελεί μία κατεύθυνση η οποία θα πρέπει να λαμβάνεται υπόψη τόσο από τον τακτικό νομοθέτη στις νομοθετικές του πρωτοβουλίες όσο και από τη Διοίκηση και τα δικαστήρια. Παράλληλα, η κατεύθυνση για τις ενάλιες αρχαιότητες συνίσταται στην προστασία τους από φυσικούς και ανθρωπογενείς κινδύνους. Η διατύπωση αυτή προβληματίζει, πέραν των άλλων επειδή δεν γίνεται λόγος για την ανάδειξη των αρχαιοτήτων αυτών, όσο και αν η ανάδειξη εμπεριέχεται στην έννοια της προστασίας όπως η τελευταία ορίζεται στον πολιτιστικό νόμο.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 </w:t>
      </w: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t xml:space="preserve">Επιτυχής είναι η ολιστική αντίληψη για το περιβάλλον, μέσα από την προώθηση της δημιουργίας ενιαίων δικτύων φυσικού και πολιτιστικού περιβάλλοντος, την οργάνωση χώρων και διαδρομών και την εν γένει ανάδειξη και αξιοποίησή τους με συνεργασία των αρμόδιων αρχών.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59426C">
        <w:rPr>
          <w:rFonts w:asciiTheme="minorHAnsi" w:eastAsia="Times New Roman" w:hAnsiTheme="minorHAnsi" w:cs="Times New Roman"/>
          <w:sz w:val="24"/>
          <w:szCs w:val="24"/>
          <w:lang w:val="el-GR" w:eastAsia="el-GR" w:bidi="ar-SA"/>
        </w:rPr>
        <w:lastRenderedPageBreak/>
        <w:t xml:space="preserve">Ιδιαίτερη κατεύθυνση αποτελεί η διεύρυνση της προστασίας των αρχαιολογικών χώρων, με την ένταξη της διαφύλαξης των τοπίων σε αυτούς.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0"/>
          <w:lang w:val="el-GR" w:eastAsia="el-GR" w:bidi="ar-SA"/>
        </w:rPr>
      </w:pPr>
      <w:r w:rsidRPr="0059426C">
        <w:rPr>
          <w:rFonts w:asciiTheme="minorHAnsi" w:eastAsia="Times New Roman" w:hAnsiTheme="minorHAnsi" w:cs="Times New Roman"/>
          <w:sz w:val="24"/>
          <w:szCs w:val="20"/>
          <w:lang w:val="el-GR" w:eastAsia="el-GR" w:bidi="ar-SA"/>
        </w:rPr>
        <w:t>Τέλος, το ισοζύγιο είναι θετικό για το καινοτόμο εγχείρημα της Πολιτείας να αναδιοργανώσει χωροταξικά την επικράτεια, με τη νεωτεριστική μέθοδο του ολοκληρωμένου χωροταξικού σχεδιασμού. Τα προβλήματα δεν λείπουν τόσο ως προς τον υποτονικό συμμετοχικό χαρακτήρα της διαδικασίας αυτής, η οποία εξελίχθηκε στο περιθώριο των κοινωνικών ζυμώσεων, όσο και ως προς το περιεχόμενο. Το κύριο πρόβλημα του περιεχομένου συνίσταται στον «ηγεμονισμό» του οικονομικού σκέλους σε βάρος του περιβαλλοντικού και ιδιαίτερα του πολιτιστικού. Σύστοιχος είναι ο «ηγεμονισμός» του «κατεστημένου» κάποιων πόλεων παραδοσιακά ευνοημένων από το πολιτικό σύστημα σε βάρος άλλων της ευρύτερης περιοχής.</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0"/>
          <w:lang w:val="el-GR" w:eastAsia="el-GR" w:bidi="ar-SA"/>
        </w:rPr>
      </w:pPr>
      <w:r w:rsidRPr="0059426C">
        <w:rPr>
          <w:rFonts w:asciiTheme="minorHAnsi" w:eastAsia="Times New Roman" w:hAnsiTheme="minorHAnsi" w:cs="Times New Roman"/>
          <w:sz w:val="24"/>
          <w:szCs w:val="20"/>
          <w:lang w:val="el-GR" w:eastAsia="el-GR" w:bidi="ar-SA"/>
        </w:rPr>
        <w:t xml:space="preserve"> </w:t>
      </w:r>
    </w:p>
    <w:p w:rsidR="0059426C" w:rsidRPr="0059426C" w:rsidRDefault="0059426C" w:rsidP="0059426C">
      <w:pPr>
        <w:overflowPunct w:val="0"/>
        <w:autoSpaceDE w:val="0"/>
        <w:autoSpaceDN w:val="0"/>
        <w:adjustRightInd w:val="0"/>
        <w:spacing w:after="0" w:line="360" w:lineRule="auto"/>
        <w:jc w:val="both"/>
        <w:textAlignment w:val="baseline"/>
        <w:rPr>
          <w:rFonts w:asciiTheme="minorHAnsi" w:eastAsia="Times New Roman" w:hAnsiTheme="minorHAnsi" w:cs="Times New Roman"/>
          <w:b/>
          <w:sz w:val="24"/>
          <w:szCs w:val="20"/>
          <w:lang w:val="el-GR" w:eastAsia="el-GR" w:bidi="ar-SA"/>
        </w:rPr>
      </w:pPr>
      <w:r w:rsidRPr="0059426C">
        <w:rPr>
          <w:rFonts w:asciiTheme="minorHAnsi" w:eastAsia="Times New Roman" w:hAnsiTheme="minorHAnsi" w:cs="Times New Roman"/>
          <w:b/>
          <w:sz w:val="24"/>
          <w:szCs w:val="20"/>
          <w:lang w:val="el-GR" w:eastAsia="el-GR" w:bidi="ar-SA"/>
        </w:rPr>
        <w:t xml:space="preserve">7.4 Ο χωροταξικός σχεδιασμός σε εκσυγχρονιστική τροχιά κατά την αρχή της βιώσιμης ανάπτυξης  </w:t>
      </w:r>
    </w:p>
    <w:p w:rsidR="0059426C" w:rsidRPr="0059426C" w:rsidRDefault="0059426C" w:rsidP="0059426C">
      <w:pPr>
        <w:autoSpaceDE w:val="0"/>
        <w:autoSpaceDN w:val="0"/>
        <w:adjustRightInd w:val="0"/>
        <w:spacing w:after="0" w:line="360" w:lineRule="auto"/>
        <w:jc w:val="both"/>
        <w:rPr>
          <w:rFonts w:asciiTheme="minorHAnsi" w:eastAsia="SimSun" w:hAnsiTheme="minorHAnsi" w:cs="Times New Roman"/>
          <w:sz w:val="24"/>
          <w:szCs w:val="24"/>
          <w:lang w:val="el-GR" w:eastAsia="zh-CN" w:bidi="ar-SA"/>
        </w:rPr>
      </w:pPr>
      <w:r w:rsidRPr="0059426C">
        <w:rPr>
          <w:rFonts w:asciiTheme="minorHAnsi" w:eastAsia="SimSun" w:hAnsiTheme="minorHAnsi" w:cs="Times New Roman"/>
          <w:sz w:val="24"/>
          <w:szCs w:val="24"/>
          <w:lang w:val="el-GR" w:eastAsia="zh-CN" w:bidi="ar-SA"/>
        </w:rPr>
        <w:t>Αν η ευκαιρία της τελευταίας συνταγματικής αναθεώρησης, το 2008, χάθηκε και για την περίπτωση του άρθρου 24 του Συντάγματος, είναι σημαντικό το γεγονός ότι η Πολιτεία ανταποκρίθηκε στην απαίτηση για χωροταξική αναδιάρθρωση σε εθνικό επίπεδο.</w:t>
      </w:r>
      <w:r w:rsidRPr="0059426C">
        <w:rPr>
          <w:rFonts w:asciiTheme="minorHAnsi" w:eastAsia="SimSun" w:hAnsiTheme="minorHAnsi" w:cs="Times New Roman"/>
          <w:b/>
          <w:sz w:val="24"/>
          <w:szCs w:val="24"/>
          <w:lang w:val="el-GR" w:eastAsia="zh-CN" w:bidi="ar-SA"/>
        </w:rPr>
        <w:t xml:space="preserve"> </w:t>
      </w:r>
      <w:bookmarkStart w:id="0" w:name="_Toc223689678"/>
      <w:r w:rsidRPr="0059426C">
        <w:rPr>
          <w:rFonts w:asciiTheme="minorHAnsi" w:eastAsia="SimSun" w:hAnsiTheme="minorHAnsi" w:cs="Times New Roman"/>
          <w:sz w:val="24"/>
          <w:szCs w:val="24"/>
          <w:lang w:val="el-GR" w:eastAsia="zh-CN" w:bidi="ar-SA"/>
        </w:rPr>
        <w:t xml:space="preserve">Ο  χωροταξικός σχεδιασμός συνιστά καθοριστικό παράγοντα για την εκπλήρωση και των τριών πυλώνων της αρχής της </w:t>
      </w:r>
      <w:proofErr w:type="spellStart"/>
      <w:r w:rsidRPr="0059426C">
        <w:rPr>
          <w:rFonts w:asciiTheme="minorHAnsi" w:eastAsia="SimSun" w:hAnsiTheme="minorHAnsi" w:cs="Times New Roman"/>
          <w:sz w:val="24"/>
          <w:szCs w:val="24"/>
          <w:lang w:val="el-GR" w:eastAsia="zh-CN" w:bidi="ar-SA"/>
        </w:rPr>
        <w:t>αειφορίας</w:t>
      </w:r>
      <w:proofErr w:type="spellEnd"/>
      <w:r w:rsidRPr="0059426C">
        <w:rPr>
          <w:rFonts w:asciiTheme="minorHAnsi" w:eastAsia="SimSun" w:hAnsiTheme="minorHAnsi" w:cs="Times New Roman"/>
          <w:sz w:val="24"/>
          <w:szCs w:val="24"/>
          <w:lang w:val="el-GR" w:eastAsia="zh-CN" w:bidi="ar-SA"/>
        </w:rPr>
        <w:t xml:space="preserve">, οι οποίοι είναι ο κοινωνικός, ο οικονομικός και ο  περιβαλλοντικός. Ειδικότερα, όπως επισημαίνεται στο νέο Ειδικό Πλαίσιο Χωροταξικού Σχεδιασμού και Αειφόρου Ανάπτυξης για τον Τουρισμό (2013), η βιώσιμη ανάπτυξη, σύμφωνα με την Ευρωπαϊκή Στρατηγική για τη Βιώσιμη Ανάπτυξη, είναι ένας στρατηγικής σημασίας στόχος για το σύνολο των πολιτικών στην Ευρωπαϊκή Ένωση. Περιλαμβάνει τρεις διαστάσεις: </w:t>
      </w:r>
    </w:p>
    <w:p w:rsidR="0059426C" w:rsidRPr="0059426C" w:rsidRDefault="0059426C" w:rsidP="0059426C">
      <w:pPr>
        <w:autoSpaceDE w:val="0"/>
        <w:autoSpaceDN w:val="0"/>
        <w:adjustRightInd w:val="0"/>
        <w:spacing w:after="0" w:line="360" w:lineRule="auto"/>
        <w:ind w:firstLine="720"/>
        <w:jc w:val="both"/>
        <w:rPr>
          <w:rFonts w:asciiTheme="minorHAnsi" w:eastAsia="SimSun" w:hAnsiTheme="minorHAnsi" w:cs="Times New Roman"/>
          <w:sz w:val="24"/>
          <w:szCs w:val="24"/>
          <w:lang w:val="el-GR" w:eastAsia="zh-CN" w:bidi="ar-SA"/>
        </w:rPr>
      </w:pPr>
      <w:r w:rsidRPr="0059426C">
        <w:rPr>
          <w:rFonts w:asciiTheme="minorHAnsi" w:eastAsia="SimSun" w:hAnsiTheme="minorHAnsi" w:cs="Times New Roman"/>
          <w:sz w:val="24"/>
          <w:szCs w:val="24"/>
          <w:lang w:val="el-GR" w:eastAsia="zh-CN" w:bidi="ar-SA"/>
        </w:rPr>
        <w:t xml:space="preserve">Α) την προστασία του περιβάλλοντος, </w:t>
      </w:r>
    </w:p>
    <w:p w:rsidR="0059426C" w:rsidRPr="0059426C" w:rsidRDefault="0059426C" w:rsidP="0059426C">
      <w:pPr>
        <w:autoSpaceDE w:val="0"/>
        <w:autoSpaceDN w:val="0"/>
        <w:adjustRightInd w:val="0"/>
        <w:spacing w:after="0" w:line="360" w:lineRule="auto"/>
        <w:ind w:firstLine="720"/>
        <w:jc w:val="both"/>
        <w:rPr>
          <w:rFonts w:asciiTheme="minorHAnsi" w:eastAsia="SimSun" w:hAnsiTheme="minorHAnsi" w:cs="Times New Roman"/>
          <w:sz w:val="24"/>
          <w:szCs w:val="24"/>
          <w:lang w:val="el-GR" w:eastAsia="zh-CN" w:bidi="ar-SA"/>
        </w:rPr>
      </w:pPr>
      <w:r w:rsidRPr="0059426C">
        <w:rPr>
          <w:rFonts w:asciiTheme="minorHAnsi" w:eastAsia="SimSun" w:hAnsiTheme="minorHAnsi" w:cs="Times New Roman"/>
          <w:sz w:val="24"/>
          <w:szCs w:val="24"/>
          <w:lang w:val="el-GR" w:eastAsia="zh-CN" w:bidi="ar-SA"/>
        </w:rPr>
        <w:t xml:space="preserve">Β) την κοινωνική ισότητα και συνοχή και </w:t>
      </w:r>
    </w:p>
    <w:p w:rsidR="0059426C" w:rsidRPr="0059426C" w:rsidRDefault="0059426C" w:rsidP="0059426C">
      <w:pPr>
        <w:autoSpaceDE w:val="0"/>
        <w:autoSpaceDN w:val="0"/>
        <w:adjustRightInd w:val="0"/>
        <w:spacing w:after="0" w:line="360" w:lineRule="auto"/>
        <w:rPr>
          <w:rFonts w:asciiTheme="minorHAnsi" w:eastAsia="SimSun" w:hAnsiTheme="minorHAnsi" w:cs="Times New Roman"/>
          <w:color w:val="000000"/>
          <w:sz w:val="24"/>
          <w:szCs w:val="24"/>
          <w:lang w:val="el-GR" w:eastAsia="zh-CN" w:bidi="ar-SA"/>
        </w:rPr>
      </w:pPr>
      <w:r w:rsidRPr="0059426C">
        <w:rPr>
          <w:rFonts w:asciiTheme="minorHAnsi" w:eastAsia="SimSun" w:hAnsiTheme="minorHAnsi" w:cs="Times New Roman"/>
          <w:color w:val="000000"/>
          <w:sz w:val="24"/>
          <w:szCs w:val="24"/>
          <w:lang w:val="el-GR" w:eastAsia="zh-CN" w:bidi="ar-SA"/>
        </w:rPr>
        <w:t xml:space="preserve">             Γ) την οικονομική ευημερία. </w:t>
      </w:r>
    </w:p>
    <w:p w:rsidR="0059426C" w:rsidRPr="0059426C" w:rsidRDefault="0059426C" w:rsidP="0059426C">
      <w:pPr>
        <w:autoSpaceDE w:val="0"/>
        <w:autoSpaceDN w:val="0"/>
        <w:adjustRightInd w:val="0"/>
        <w:spacing w:after="0" w:line="360" w:lineRule="auto"/>
        <w:jc w:val="both"/>
        <w:rPr>
          <w:rFonts w:asciiTheme="minorHAnsi" w:eastAsia="SimSun" w:hAnsiTheme="minorHAnsi" w:cs="Times New Roman"/>
          <w:color w:val="000000"/>
          <w:sz w:val="24"/>
          <w:szCs w:val="24"/>
          <w:lang w:val="el-GR" w:eastAsia="zh-CN" w:bidi="ar-SA"/>
        </w:rPr>
      </w:pPr>
      <w:r w:rsidRPr="0059426C">
        <w:rPr>
          <w:rFonts w:asciiTheme="minorHAnsi" w:eastAsia="SimSun" w:hAnsiTheme="minorHAnsi" w:cs="Times New Roman"/>
          <w:color w:val="000000"/>
          <w:sz w:val="24"/>
          <w:szCs w:val="24"/>
          <w:lang w:val="el-GR" w:eastAsia="zh-CN" w:bidi="ar-SA"/>
        </w:rPr>
        <w:t xml:space="preserve">Στο πλαίσιο αυτό, η Εδαφική Συνοχή έχει ενσωματωθεί στο χωρικό σχεδιασμό ως έννοια ισότιμη με την Κοινωνική και Οικονομική Συνοχή. </w:t>
      </w:r>
    </w:p>
    <w:p w:rsidR="0059426C" w:rsidRDefault="0059426C" w:rsidP="0059426C">
      <w:pPr>
        <w:autoSpaceDE w:val="0"/>
        <w:autoSpaceDN w:val="0"/>
        <w:adjustRightInd w:val="0"/>
        <w:spacing w:after="0" w:line="360" w:lineRule="auto"/>
        <w:jc w:val="both"/>
        <w:rPr>
          <w:rFonts w:asciiTheme="minorHAnsi" w:eastAsia="SimSun" w:hAnsiTheme="minorHAnsi" w:cs="Times New Roman"/>
          <w:sz w:val="24"/>
          <w:szCs w:val="24"/>
          <w:lang w:val="el-GR" w:eastAsia="zh-CN" w:bidi="ar-SA"/>
        </w:rPr>
      </w:pPr>
      <w:r w:rsidRPr="0059426C">
        <w:rPr>
          <w:rFonts w:asciiTheme="minorHAnsi" w:eastAsia="SimSun" w:hAnsiTheme="minorHAnsi" w:cs="Times New Roman"/>
          <w:sz w:val="24"/>
          <w:szCs w:val="24"/>
          <w:lang w:val="el-GR" w:eastAsia="zh-CN" w:bidi="ar-SA"/>
        </w:rPr>
        <w:lastRenderedPageBreak/>
        <w:t xml:space="preserve">Η θεσμοθέτηση των Γενικού Πλαισίου και του Ειδικού για τις ΑΠΕ κρίνεται ως ένα θετικό βήμα προς την αειφόρο ανάπτυξη της Ελλάδας δεδομένου ότι, μετά από καθυστέρηση δεκαετιών, η Χώρα αποκτά εθνικό χωροταξικό σχεδιασμό κατά την επιταγή του προαναφερθέντος άρθρου. </w:t>
      </w:r>
      <w:bookmarkEnd w:id="0"/>
    </w:p>
    <w:p w:rsidR="0059426C" w:rsidRPr="0059426C" w:rsidRDefault="0059426C" w:rsidP="0059426C">
      <w:pPr>
        <w:autoSpaceDE w:val="0"/>
        <w:autoSpaceDN w:val="0"/>
        <w:adjustRightInd w:val="0"/>
        <w:spacing w:after="0" w:line="360" w:lineRule="auto"/>
        <w:jc w:val="both"/>
        <w:rPr>
          <w:rFonts w:asciiTheme="minorHAnsi" w:eastAsia="SimSun" w:hAnsiTheme="minorHAnsi" w:cs="Times New Roman"/>
          <w:sz w:val="24"/>
          <w:szCs w:val="24"/>
          <w:lang w:val="el-GR" w:eastAsia="zh-CN" w:bidi="ar-SA"/>
        </w:rPr>
      </w:pPr>
    </w:p>
    <w:p w:rsidR="009B6FAA" w:rsidRPr="0059426C" w:rsidRDefault="0059426C" w:rsidP="0059426C">
      <w:pPr>
        <w:spacing w:line="360" w:lineRule="auto"/>
        <w:jc w:val="both"/>
        <w:rPr>
          <w:rFonts w:asciiTheme="minorHAnsi" w:hAnsiTheme="minorHAnsi"/>
          <w:sz w:val="24"/>
          <w:szCs w:val="24"/>
          <w:lang w:val="el-GR"/>
        </w:rPr>
      </w:pPr>
      <w:r w:rsidRPr="0059426C">
        <w:rPr>
          <w:rFonts w:asciiTheme="minorHAnsi" w:eastAsia="Times New Roman" w:hAnsiTheme="minorHAnsi" w:cs="Times New Roman"/>
          <w:sz w:val="24"/>
          <w:szCs w:val="20"/>
          <w:lang w:val="el-GR" w:eastAsia="el-GR" w:bidi="ar-SA"/>
        </w:rPr>
        <w:t>Ειδικότερα, όσον αφορά το Γενικό Πλαίσιο, το ισοζύγιο είναι θετικό ιδιαίτερα για το λόγο ότι αυτό αποτελεί ένα σπάνιο παράδειγμα υιοθέτησης της νεωτεριστικής μεθόδου του ολοκληρωμένου σχεδιασμού, δηλαδή εμπλουτισμένου με τα μη χωρικά (κοινωνικά και οικονομικά) στοιχεία των περιοχών</w:t>
      </w:r>
      <w:r w:rsidRPr="0059426C">
        <w:rPr>
          <w:rFonts w:asciiTheme="minorHAnsi" w:eastAsia="Times New Roman" w:hAnsiTheme="minorHAnsi" w:cs="Times New Roman"/>
          <w:sz w:val="24"/>
          <w:szCs w:val="20"/>
          <w:vertAlign w:val="superscript"/>
          <w:lang w:val="el-GR" w:eastAsia="el-GR" w:bidi="ar-SA"/>
        </w:rPr>
        <w:footnoteReference w:id="12"/>
      </w:r>
      <w:r w:rsidRPr="0059426C">
        <w:rPr>
          <w:rFonts w:asciiTheme="minorHAnsi" w:eastAsia="Times New Roman" w:hAnsiTheme="minorHAnsi" w:cs="Times New Roman"/>
          <w:sz w:val="24"/>
          <w:szCs w:val="20"/>
          <w:lang w:val="el-GR" w:eastAsia="el-GR" w:bidi="ar-SA"/>
        </w:rPr>
        <w:t xml:space="preserve">. Τα προβλήματα δεν λείπουν τόσο ως προς τον υποτονικό συμμετοχικό χαρακτήρα της διαδικασίας αυτής, η οποία εξελίχθηκε στο περιθώριο των κοινωνικών και πολιτικών ζυμώσεων, όσο και ως προς το περιεχόμενο. Το κύριο πρόβλημα του περιεχομένου συνίσταται στον «ηγεμονισμό» του οικονομικού σκέλους σε βάρος του περιβαλλοντικού και ιδιαίτερα του πολιτιστικού. Σύστοιχο με αυτό το ζήτημα είναι το φαινόμενο του «ηγεμονισμού» του «κατεστημένου» κάποιων πόλεων παραδοσιακά ευνοημένων από το πολιτικό σύστημα σε βάρος άλλων της ευρύτερης περιοχής. Το ζητούμενο είναι η ευημερία των ανθρώπων και η αποκατάσταση των αδικιών που αφορούν την ανάπτυξη της επαρχίας και ιδιαίτερα των ακριτικών περιοχών.  </w:t>
      </w:r>
      <w:r w:rsidR="009B6FAA" w:rsidRPr="0059426C">
        <w:rPr>
          <w:rFonts w:asciiTheme="minorHAnsi" w:hAnsiTheme="minorHAnsi"/>
          <w:sz w:val="24"/>
          <w:szCs w:val="24"/>
          <w:lang w:val="el-GR"/>
        </w:rPr>
        <w:t xml:space="preserve">    </w:t>
      </w:r>
    </w:p>
    <w:p w:rsidR="009B6FAA" w:rsidRDefault="009B6FAA" w:rsidP="009B6FAA">
      <w:pPr>
        <w:pStyle w:val="BodyText21"/>
        <w:rPr>
          <w:rFonts w:ascii="Times New Roman" w:hAnsi="Times New Roman"/>
          <w:b w:val="0"/>
          <w:szCs w:val="24"/>
        </w:rPr>
      </w:pPr>
    </w:p>
    <w:p w:rsidR="002E2CBD" w:rsidRPr="002E2CBD" w:rsidRDefault="002E2CBD" w:rsidP="002E2CBD">
      <w:pPr>
        <w:spacing w:after="0" w:line="360" w:lineRule="auto"/>
        <w:jc w:val="both"/>
        <w:rPr>
          <w:rFonts w:asciiTheme="minorHAnsi" w:eastAsia="Times New Roman" w:hAnsiTheme="minorHAnsi" w:cs="Times New Roman"/>
          <w:b/>
          <w:sz w:val="24"/>
          <w:szCs w:val="24"/>
          <w:lang w:val="el-GR" w:eastAsia="el-GR" w:bidi="ar-SA"/>
        </w:rPr>
      </w:pPr>
      <w:r w:rsidRPr="002E2CBD">
        <w:rPr>
          <w:rFonts w:asciiTheme="minorHAnsi" w:eastAsia="Times New Roman" w:hAnsiTheme="minorHAnsi" w:cs="Times New Roman"/>
          <w:sz w:val="24"/>
          <w:szCs w:val="24"/>
          <w:lang w:val="el-GR" w:eastAsia="el-GR" w:bidi="ar-SA"/>
        </w:rPr>
        <w:t xml:space="preserve"> </w:t>
      </w:r>
    </w:p>
    <w:p w:rsidR="00516744" w:rsidRPr="00516744" w:rsidRDefault="00516744" w:rsidP="00516744">
      <w:pPr>
        <w:spacing w:after="0" w:line="360" w:lineRule="auto"/>
        <w:jc w:val="both"/>
        <w:rPr>
          <w:rFonts w:asciiTheme="minorHAnsi" w:eastAsia="Times New Roman" w:hAnsiTheme="minorHAnsi" w:cs="Times New Roman"/>
          <w:sz w:val="24"/>
          <w:szCs w:val="24"/>
          <w:lang w:val="el-GR" w:eastAsia="el-GR" w:bidi="ar-SA"/>
        </w:rPr>
      </w:pPr>
    </w:p>
    <w:p w:rsidR="006544FE"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   </w:t>
      </w:r>
      <w:r w:rsidRPr="00A03D5B">
        <w:rPr>
          <w:rFonts w:ascii="Times New Roman" w:eastAsia="Times New Roman" w:hAnsi="Times New Roman" w:cs="Times New Roman"/>
          <w:sz w:val="24"/>
          <w:szCs w:val="24"/>
          <w:lang w:val="el-GR" w:eastAsia="el-GR" w:bidi="ar-SA"/>
        </w:rPr>
        <w:t xml:space="preserve">   </w:t>
      </w:r>
    </w:p>
    <w:p w:rsidR="006544FE" w:rsidRDefault="006544FE">
      <w:pPr>
        <w:rPr>
          <w:rFonts w:ascii="Times New Roman" w:eastAsia="Times New Roman" w:hAnsi="Times New Roman" w:cs="Times New Roman"/>
          <w:sz w:val="24"/>
          <w:szCs w:val="24"/>
          <w:lang w:val="el-GR" w:eastAsia="el-GR" w:bidi="ar-SA"/>
        </w:rPr>
      </w:pPr>
      <w:r>
        <w:rPr>
          <w:rFonts w:ascii="Times New Roman" w:eastAsia="Times New Roman" w:hAnsi="Times New Roman" w:cs="Times New Roman"/>
          <w:sz w:val="24"/>
          <w:szCs w:val="24"/>
          <w:lang w:val="el-GR" w:eastAsia="el-GR" w:bidi="ar-SA"/>
        </w:rPr>
        <w:br w:type="page"/>
      </w: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30685" w:rsidTr="00EC5992">
        <w:trPr>
          <w:trHeight w:val="1516"/>
        </w:trPr>
        <w:tc>
          <w:tcPr>
            <w:tcW w:w="8612" w:type="dxa"/>
          </w:tcPr>
          <w:p w:rsidR="003C30BC" w:rsidRDefault="00C61677" w:rsidP="00034A28">
            <w:pPr>
              <w:jc w:val="center"/>
              <w:rPr>
                <w:rFonts w:asciiTheme="minorHAnsi" w:hAnsiTheme="minorHAnsi" w:cs="Arial"/>
                <w:b/>
                <w:sz w:val="32"/>
                <w:szCs w:val="32"/>
                <w:lang w:val="el-GR"/>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r w:rsidR="00A8327F" w:rsidRPr="00A8327F">
              <w:rPr>
                <w:rFonts w:asciiTheme="minorHAnsi" w:eastAsia="Times New Roman" w:hAnsiTheme="minorHAnsi" w:cs="Times New Roman"/>
                <w:color w:val="000000"/>
                <w:sz w:val="24"/>
                <w:szCs w:val="20"/>
                <w:lang w:val="el-GR" w:eastAsia="el-GR" w:bidi="ar-SA"/>
              </w:rPr>
              <w:t xml:space="preserve">    </w:t>
            </w:r>
            <w:r w:rsidR="00A8327F">
              <w:rPr>
                <w:rFonts w:asciiTheme="minorHAnsi" w:eastAsia="Times New Roman" w:hAnsiTheme="minorHAnsi" w:cs="Times New Roman"/>
                <w:sz w:val="24"/>
                <w:szCs w:val="24"/>
                <w:lang w:val="el-GR" w:eastAsia="el-GR" w:bidi="ar-SA"/>
              </w:rPr>
              <w:br w:type="page"/>
            </w: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2133FCD" wp14:editId="47838CF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9B6FAA" w:rsidRPr="009B6FAA">
        <w:rPr>
          <w:rFonts w:asciiTheme="minorHAnsi" w:hAnsiTheme="minorHAnsi"/>
          <w:lang w:val="el-GR"/>
        </w:rPr>
        <w:t>Ενότητα 6: Χορηγία για την τουριστική ανάπτυξη και προβολή της Ελλάδας</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93068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93068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59426C">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 w:id="1">
    <w:p w:rsidR="0059426C" w:rsidRPr="0059426C" w:rsidRDefault="0059426C" w:rsidP="0059426C">
      <w:pPr>
        <w:pStyle w:val="FootnoteText"/>
        <w:jc w:val="both"/>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Βλ. Α. Μανιάτης, </w:t>
      </w:r>
      <w:r w:rsidRPr="0059426C">
        <w:rPr>
          <w:rFonts w:asciiTheme="minorHAnsi" w:hAnsiTheme="minorHAnsi"/>
          <w:i/>
          <w:lang w:val="el-GR"/>
        </w:rPr>
        <w:t>Εισαγωγή στο Πολιτιστικό Δίκαιο</w:t>
      </w:r>
      <w:r w:rsidRPr="0059426C">
        <w:rPr>
          <w:rFonts w:asciiTheme="minorHAnsi" w:hAnsiTheme="minorHAnsi"/>
          <w:lang w:val="el-GR"/>
        </w:rPr>
        <w:t xml:space="preserve">, Εκδόσεις Αντ. Ν. </w:t>
      </w:r>
      <w:proofErr w:type="spellStart"/>
      <w:r w:rsidRPr="0059426C">
        <w:rPr>
          <w:rFonts w:asciiTheme="minorHAnsi" w:hAnsiTheme="minorHAnsi"/>
          <w:lang w:val="el-GR"/>
        </w:rPr>
        <w:t>Σάκκουλα</w:t>
      </w:r>
      <w:proofErr w:type="spellEnd"/>
      <w:r w:rsidRPr="0059426C">
        <w:rPr>
          <w:rFonts w:asciiTheme="minorHAnsi" w:hAnsiTheme="minorHAnsi"/>
          <w:lang w:val="el-GR"/>
        </w:rPr>
        <w:t xml:space="preserve"> Αθήνα – Κομοτηνή 2008, σ. 187 </w:t>
      </w:r>
      <w:proofErr w:type="spellStart"/>
      <w:r w:rsidRPr="0059426C">
        <w:rPr>
          <w:rFonts w:asciiTheme="minorHAnsi" w:hAnsiTheme="minorHAnsi"/>
          <w:lang w:val="el-GR"/>
        </w:rPr>
        <w:t>επ</w:t>
      </w:r>
      <w:proofErr w:type="spellEnd"/>
      <w:r w:rsidRPr="0059426C">
        <w:rPr>
          <w:rFonts w:asciiTheme="minorHAnsi" w:hAnsiTheme="minorHAnsi"/>
          <w:lang w:val="el-GR"/>
        </w:rPr>
        <w:t xml:space="preserve">., Α. Μανιάτης, </w:t>
      </w:r>
      <w:r w:rsidRPr="0059426C">
        <w:rPr>
          <w:rFonts w:asciiTheme="minorHAnsi" w:hAnsiTheme="minorHAnsi"/>
          <w:i/>
          <w:lang w:val="el-GR"/>
        </w:rPr>
        <w:t>Εργασίες προστασίας μνημείων και καταπολέμηση της αρχαιοκαπηλίας</w:t>
      </w:r>
      <w:r w:rsidRPr="0059426C">
        <w:rPr>
          <w:rFonts w:asciiTheme="minorHAnsi" w:hAnsiTheme="minorHAnsi"/>
          <w:lang w:val="el-GR"/>
        </w:rPr>
        <w:t xml:space="preserve">, Εκδόσεις Αντ. Ν. </w:t>
      </w:r>
      <w:proofErr w:type="spellStart"/>
      <w:r w:rsidRPr="0059426C">
        <w:rPr>
          <w:rFonts w:asciiTheme="minorHAnsi" w:hAnsiTheme="minorHAnsi"/>
          <w:lang w:val="el-GR"/>
        </w:rPr>
        <w:t>Σάκκουλα</w:t>
      </w:r>
      <w:proofErr w:type="spellEnd"/>
      <w:r w:rsidRPr="0059426C">
        <w:rPr>
          <w:rFonts w:asciiTheme="minorHAnsi" w:hAnsiTheme="minorHAnsi"/>
          <w:lang w:val="el-GR"/>
        </w:rPr>
        <w:t xml:space="preserve"> 2010, Α. Μανιάτης, </w:t>
      </w:r>
      <w:r w:rsidRPr="0059426C">
        <w:rPr>
          <w:rFonts w:asciiTheme="minorHAnsi" w:hAnsiTheme="minorHAnsi"/>
          <w:i/>
          <w:lang w:val="el-GR"/>
        </w:rPr>
        <w:t>Αρχαιολογική έρευνα πεδίου και μουσεία</w:t>
      </w:r>
      <w:r w:rsidRPr="0059426C">
        <w:rPr>
          <w:rFonts w:asciiTheme="minorHAnsi" w:hAnsiTheme="minorHAnsi"/>
          <w:lang w:val="el-GR"/>
        </w:rPr>
        <w:t xml:space="preserve">, Εκδόσεις Αντ. Ν. </w:t>
      </w:r>
      <w:proofErr w:type="spellStart"/>
      <w:r w:rsidRPr="0059426C">
        <w:rPr>
          <w:rFonts w:asciiTheme="minorHAnsi" w:hAnsiTheme="minorHAnsi"/>
          <w:lang w:val="el-GR"/>
        </w:rPr>
        <w:t>Σάκκουλα</w:t>
      </w:r>
      <w:proofErr w:type="spellEnd"/>
      <w:r w:rsidRPr="0059426C">
        <w:rPr>
          <w:rFonts w:asciiTheme="minorHAnsi" w:hAnsiTheme="minorHAnsi"/>
          <w:lang w:val="el-GR"/>
        </w:rPr>
        <w:t xml:space="preserve"> 2010.   </w:t>
      </w:r>
    </w:p>
  </w:footnote>
  <w:footnote w:id="2">
    <w:p w:rsidR="0059426C" w:rsidRPr="0059426C" w:rsidRDefault="0059426C" w:rsidP="0059426C">
      <w:pPr>
        <w:pStyle w:val="FootnoteText"/>
        <w:jc w:val="both"/>
        <w:rPr>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Δ. </w:t>
      </w:r>
      <w:proofErr w:type="spellStart"/>
      <w:r w:rsidRPr="0059426C">
        <w:rPr>
          <w:rFonts w:asciiTheme="minorHAnsi" w:hAnsiTheme="minorHAnsi"/>
          <w:lang w:val="el-GR"/>
        </w:rPr>
        <w:t>Χριστοφιλόπουλος</w:t>
      </w:r>
      <w:proofErr w:type="spellEnd"/>
      <w:r w:rsidRPr="0059426C">
        <w:rPr>
          <w:rFonts w:asciiTheme="minorHAnsi" w:hAnsiTheme="minorHAnsi"/>
          <w:lang w:val="el-GR"/>
        </w:rPr>
        <w:t xml:space="preserve">, </w:t>
      </w:r>
      <w:r w:rsidRPr="0059426C">
        <w:rPr>
          <w:rFonts w:asciiTheme="minorHAnsi" w:hAnsiTheme="minorHAnsi"/>
          <w:i/>
          <w:lang w:val="el-GR"/>
        </w:rPr>
        <w:t>Πολιτιστικό Δίκαιο. Προστασία πολιτιστικών αγαθών</w:t>
      </w:r>
      <w:r w:rsidRPr="0059426C">
        <w:rPr>
          <w:rFonts w:asciiTheme="minorHAnsi" w:hAnsiTheme="minorHAnsi"/>
          <w:lang w:val="el-GR"/>
        </w:rPr>
        <w:t xml:space="preserve">, Δίκαιο &amp; Οικονομία Π. Ν. </w:t>
      </w:r>
      <w:proofErr w:type="spellStart"/>
      <w:r w:rsidRPr="0059426C">
        <w:rPr>
          <w:rFonts w:asciiTheme="minorHAnsi" w:hAnsiTheme="minorHAnsi"/>
          <w:lang w:val="el-GR"/>
        </w:rPr>
        <w:t>Σάκκουλας</w:t>
      </w:r>
      <w:proofErr w:type="spellEnd"/>
      <w:r w:rsidRPr="0059426C">
        <w:rPr>
          <w:rFonts w:asciiTheme="minorHAnsi" w:hAnsiTheme="minorHAnsi"/>
          <w:lang w:val="el-GR"/>
        </w:rPr>
        <w:t xml:space="preserve"> Αθήνα 2005, σ. 161. </w:t>
      </w:r>
    </w:p>
  </w:footnote>
  <w:footnote w:id="3">
    <w:p w:rsidR="0059426C" w:rsidRPr="0059426C" w:rsidRDefault="0059426C" w:rsidP="0059426C">
      <w:pPr>
        <w:pStyle w:val="FootnoteText"/>
        <w:jc w:val="both"/>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Δ. </w:t>
      </w:r>
      <w:proofErr w:type="spellStart"/>
      <w:r w:rsidRPr="0059426C">
        <w:rPr>
          <w:rFonts w:asciiTheme="minorHAnsi" w:hAnsiTheme="minorHAnsi"/>
          <w:lang w:val="el-GR"/>
        </w:rPr>
        <w:t>Χριστοφιλόπουλος</w:t>
      </w:r>
      <w:proofErr w:type="spellEnd"/>
      <w:r w:rsidRPr="0059426C">
        <w:rPr>
          <w:rFonts w:asciiTheme="minorHAnsi" w:hAnsiTheme="minorHAnsi"/>
          <w:lang w:val="el-GR"/>
        </w:rPr>
        <w:t xml:space="preserve">, </w:t>
      </w:r>
      <w:r w:rsidRPr="0059426C">
        <w:rPr>
          <w:rFonts w:asciiTheme="minorHAnsi" w:hAnsiTheme="minorHAnsi"/>
          <w:i/>
          <w:lang w:val="el-GR"/>
        </w:rPr>
        <w:t>Πολιτιστικό Δίκαιο. Προστασία πολιτιστικών αγαθών</w:t>
      </w:r>
      <w:r w:rsidRPr="0059426C">
        <w:rPr>
          <w:rFonts w:asciiTheme="minorHAnsi" w:hAnsiTheme="minorHAnsi"/>
          <w:lang w:val="el-GR"/>
        </w:rPr>
        <w:t xml:space="preserve">, Δίκαιο &amp; Οικονομία Π. Ν. </w:t>
      </w:r>
      <w:proofErr w:type="spellStart"/>
      <w:r w:rsidRPr="0059426C">
        <w:rPr>
          <w:rFonts w:asciiTheme="minorHAnsi" w:hAnsiTheme="minorHAnsi"/>
          <w:lang w:val="el-GR"/>
        </w:rPr>
        <w:t>Σάκκουλας</w:t>
      </w:r>
      <w:proofErr w:type="spellEnd"/>
      <w:r w:rsidRPr="0059426C">
        <w:rPr>
          <w:rFonts w:asciiTheme="minorHAnsi" w:hAnsiTheme="minorHAnsi"/>
          <w:lang w:val="el-GR"/>
        </w:rPr>
        <w:t xml:space="preserve"> Αθήνα 2005, </w:t>
      </w:r>
      <w:proofErr w:type="spellStart"/>
      <w:r w:rsidRPr="0059426C">
        <w:rPr>
          <w:rFonts w:asciiTheme="minorHAnsi" w:hAnsiTheme="minorHAnsi"/>
          <w:lang w:val="el-GR"/>
        </w:rPr>
        <w:t>σσ</w:t>
      </w:r>
      <w:proofErr w:type="spellEnd"/>
      <w:r w:rsidRPr="0059426C">
        <w:rPr>
          <w:rFonts w:asciiTheme="minorHAnsi" w:hAnsiTheme="minorHAnsi"/>
          <w:lang w:val="el-GR"/>
        </w:rPr>
        <w:t xml:space="preserve">. 122-123.  </w:t>
      </w:r>
    </w:p>
    <w:p w:rsidR="0059426C" w:rsidRPr="0059426C" w:rsidRDefault="0059426C" w:rsidP="0059426C">
      <w:pPr>
        <w:pStyle w:val="FootnoteText"/>
        <w:rPr>
          <w:rFonts w:asciiTheme="minorHAnsi" w:hAnsiTheme="minorHAnsi"/>
          <w:lang w:val="el-GR"/>
        </w:rPr>
      </w:pPr>
    </w:p>
  </w:footnote>
  <w:footnote w:id="4">
    <w:p w:rsidR="0059426C" w:rsidRPr="0059426C" w:rsidRDefault="0059426C" w:rsidP="0059426C">
      <w:pPr>
        <w:pStyle w:val="FootnoteText"/>
        <w:rPr>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Βουλή των Ελλήνων </w:t>
      </w:r>
      <w:proofErr w:type="spellStart"/>
      <w:r w:rsidRPr="0059426C">
        <w:rPr>
          <w:rFonts w:asciiTheme="minorHAnsi" w:hAnsiTheme="minorHAnsi"/>
          <w:lang w:val="el-GR"/>
        </w:rPr>
        <w:t>Αριθμ</w:t>
      </w:r>
      <w:proofErr w:type="spellEnd"/>
      <w:r w:rsidRPr="0059426C">
        <w:rPr>
          <w:rFonts w:asciiTheme="minorHAnsi" w:hAnsiTheme="minorHAnsi"/>
          <w:lang w:val="el-GR"/>
        </w:rPr>
        <w:t xml:space="preserve">. 6877/4872 (ΦΕΚ Α’ 128/3.7.2008). </w:t>
      </w:r>
    </w:p>
  </w:footnote>
  <w:footnote w:id="5">
    <w:p w:rsidR="0059426C" w:rsidRPr="0059426C" w:rsidRDefault="0059426C" w:rsidP="0059426C">
      <w:pPr>
        <w:pStyle w:val="FootnoteText"/>
        <w:jc w:val="both"/>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Γ. Ξανθούλης, </w:t>
      </w:r>
      <w:r w:rsidRPr="0059426C">
        <w:rPr>
          <w:rFonts w:asciiTheme="minorHAnsi" w:hAnsiTheme="minorHAnsi"/>
          <w:i/>
          <w:lang w:val="el-GR"/>
        </w:rPr>
        <w:t>Κριτήρια ελέγχου της νομιμότητας της διαδικασίας κατάρτισης και έγκρισης του «Γενικού Πλαισίου Χωροταξικού Σχεδιασμού και Αειφόρου Ανάπτυξης» και ο νομικός του χαρακτήρας</w:t>
      </w:r>
      <w:r w:rsidRPr="0059426C">
        <w:rPr>
          <w:rFonts w:asciiTheme="minorHAnsi" w:hAnsiTheme="minorHAnsi"/>
          <w:lang w:val="el-GR"/>
        </w:rPr>
        <w:t xml:space="preserve">, Νόμος + Φύση Δεκέμβριος 2009, </w:t>
      </w:r>
      <w:hyperlink r:id="rId1" w:history="1">
        <w:r w:rsidRPr="0059426C">
          <w:rPr>
            <w:rStyle w:val="Hyperlink"/>
            <w:rFonts w:asciiTheme="minorHAnsi" w:hAnsiTheme="minorHAnsi"/>
          </w:rPr>
          <w:t>www</w:t>
        </w:r>
        <w:r w:rsidRPr="0059426C">
          <w:rPr>
            <w:rStyle w:val="Hyperlink"/>
            <w:rFonts w:asciiTheme="minorHAnsi" w:hAnsiTheme="minorHAnsi"/>
            <w:lang w:val="el-GR"/>
          </w:rPr>
          <w:t>.</w:t>
        </w:r>
        <w:proofErr w:type="spellStart"/>
        <w:r w:rsidRPr="0059426C">
          <w:rPr>
            <w:rStyle w:val="Hyperlink"/>
            <w:rFonts w:asciiTheme="minorHAnsi" w:hAnsiTheme="minorHAnsi"/>
          </w:rPr>
          <w:t>nomosphysis</w:t>
        </w:r>
        <w:proofErr w:type="spellEnd"/>
        <w:r w:rsidRPr="0059426C">
          <w:rPr>
            <w:rStyle w:val="Hyperlink"/>
            <w:rFonts w:asciiTheme="minorHAnsi" w:hAnsiTheme="minorHAnsi"/>
            <w:lang w:val="el-GR"/>
          </w:rPr>
          <w:t>.</w:t>
        </w:r>
        <w:r w:rsidRPr="0059426C">
          <w:rPr>
            <w:rStyle w:val="Hyperlink"/>
            <w:rFonts w:asciiTheme="minorHAnsi" w:hAnsiTheme="minorHAnsi"/>
          </w:rPr>
          <w:t>org</w:t>
        </w:r>
        <w:r w:rsidRPr="0059426C">
          <w:rPr>
            <w:rStyle w:val="Hyperlink"/>
            <w:rFonts w:asciiTheme="minorHAnsi" w:hAnsiTheme="minorHAnsi"/>
            <w:lang w:val="el-GR"/>
          </w:rPr>
          <w:t>.</w:t>
        </w:r>
        <w:r w:rsidRPr="0059426C">
          <w:rPr>
            <w:rStyle w:val="Hyperlink"/>
            <w:rFonts w:asciiTheme="minorHAnsi" w:hAnsiTheme="minorHAnsi"/>
          </w:rPr>
          <w:t>gr</w:t>
        </w:r>
      </w:hyperlink>
      <w:r w:rsidRPr="0059426C">
        <w:rPr>
          <w:rFonts w:asciiTheme="minorHAnsi" w:hAnsiTheme="minorHAnsi"/>
          <w:lang w:val="el-GR"/>
        </w:rPr>
        <w:t xml:space="preserve">.  </w:t>
      </w:r>
    </w:p>
  </w:footnote>
  <w:footnote w:id="6">
    <w:p w:rsidR="0059426C" w:rsidRPr="0059426C" w:rsidRDefault="0059426C" w:rsidP="0059426C">
      <w:pPr>
        <w:pStyle w:val="FootnoteText"/>
        <w:jc w:val="both"/>
        <w:rPr>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Γ. </w:t>
      </w:r>
      <w:proofErr w:type="spellStart"/>
      <w:r w:rsidRPr="0059426C">
        <w:rPr>
          <w:rFonts w:asciiTheme="minorHAnsi" w:hAnsiTheme="minorHAnsi"/>
          <w:lang w:val="el-GR"/>
        </w:rPr>
        <w:t>Μυλωνογιάννης</w:t>
      </w:r>
      <w:proofErr w:type="spellEnd"/>
      <w:r w:rsidRPr="0059426C">
        <w:rPr>
          <w:rFonts w:asciiTheme="minorHAnsi" w:hAnsiTheme="minorHAnsi"/>
          <w:lang w:val="el-GR"/>
        </w:rPr>
        <w:t xml:space="preserve">, </w:t>
      </w:r>
      <w:r w:rsidRPr="0059426C">
        <w:rPr>
          <w:rFonts w:asciiTheme="minorHAnsi" w:hAnsiTheme="minorHAnsi"/>
          <w:i/>
          <w:lang w:val="el-GR"/>
        </w:rPr>
        <w:t>Ο νέος χωροταξικός νόμος κάνει καλό στις επενδύσεις</w:t>
      </w:r>
      <w:r w:rsidRPr="0059426C">
        <w:rPr>
          <w:rFonts w:asciiTheme="minorHAnsi" w:hAnsiTheme="minorHAnsi"/>
          <w:lang w:val="el-GR"/>
        </w:rPr>
        <w:t>, Ελεύθερος Τύπος της Κυριακής Κυριακή 13 Ιουλίου 2008, σ. 18 ΕΤ</w:t>
      </w:r>
      <w:r w:rsidRPr="0059426C">
        <w:rPr>
          <w:rFonts w:asciiTheme="minorHAnsi" w:hAnsiTheme="minorHAnsi"/>
        </w:rPr>
        <w:t>f</w:t>
      </w:r>
      <w:r w:rsidRPr="0059426C">
        <w:rPr>
          <w:rFonts w:asciiTheme="minorHAnsi" w:hAnsiTheme="minorHAnsi"/>
          <w:lang w:val="el-GR"/>
        </w:rPr>
        <w:t xml:space="preserve">. </w:t>
      </w:r>
    </w:p>
  </w:footnote>
  <w:footnote w:id="7">
    <w:p w:rsidR="0059426C" w:rsidRPr="0059426C" w:rsidRDefault="0059426C" w:rsidP="0059426C">
      <w:pPr>
        <w:pStyle w:val="FootnoteText"/>
        <w:jc w:val="both"/>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Κ. </w:t>
      </w:r>
      <w:proofErr w:type="spellStart"/>
      <w:r w:rsidRPr="0059426C">
        <w:rPr>
          <w:rFonts w:asciiTheme="minorHAnsi" w:hAnsiTheme="minorHAnsi"/>
          <w:lang w:val="el-GR"/>
        </w:rPr>
        <w:t>Μενουδάκος</w:t>
      </w:r>
      <w:proofErr w:type="spellEnd"/>
      <w:r w:rsidRPr="0059426C">
        <w:rPr>
          <w:rFonts w:asciiTheme="minorHAnsi" w:hAnsiTheme="minorHAnsi"/>
          <w:lang w:val="el-GR"/>
        </w:rPr>
        <w:t xml:space="preserve">, </w:t>
      </w:r>
      <w:r w:rsidRPr="0059426C">
        <w:rPr>
          <w:rFonts w:asciiTheme="minorHAnsi" w:hAnsiTheme="minorHAnsi"/>
          <w:i/>
          <w:lang w:val="el-GR"/>
        </w:rPr>
        <w:t>Ο χωροταξικός σχεδιασμός στη νομολογία του Συμβουλίου Επικρατείας</w:t>
      </w:r>
      <w:r w:rsidRPr="0059426C">
        <w:rPr>
          <w:rFonts w:asciiTheme="minorHAnsi" w:hAnsiTheme="minorHAnsi"/>
          <w:lang w:val="el-GR"/>
        </w:rPr>
        <w:t xml:space="preserve">, Νόμος + Φύση Μάιος 2008, </w:t>
      </w:r>
      <w:hyperlink r:id="rId2" w:history="1">
        <w:r w:rsidRPr="0059426C">
          <w:rPr>
            <w:rStyle w:val="Hyperlink"/>
            <w:rFonts w:asciiTheme="minorHAnsi" w:hAnsiTheme="minorHAnsi"/>
          </w:rPr>
          <w:t>www</w:t>
        </w:r>
        <w:r w:rsidRPr="0059426C">
          <w:rPr>
            <w:rStyle w:val="Hyperlink"/>
            <w:rFonts w:asciiTheme="minorHAnsi" w:hAnsiTheme="minorHAnsi"/>
            <w:lang w:val="el-GR"/>
          </w:rPr>
          <w:t>.</w:t>
        </w:r>
        <w:proofErr w:type="spellStart"/>
        <w:r w:rsidRPr="0059426C">
          <w:rPr>
            <w:rStyle w:val="Hyperlink"/>
            <w:rFonts w:asciiTheme="minorHAnsi" w:hAnsiTheme="minorHAnsi"/>
          </w:rPr>
          <w:t>nomosphysis</w:t>
        </w:r>
        <w:proofErr w:type="spellEnd"/>
        <w:r w:rsidRPr="0059426C">
          <w:rPr>
            <w:rStyle w:val="Hyperlink"/>
            <w:rFonts w:asciiTheme="minorHAnsi" w:hAnsiTheme="minorHAnsi"/>
            <w:lang w:val="el-GR"/>
          </w:rPr>
          <w:t>.</w:t>
        </w:r>
        <w:r w:rsidRPr="0059426C">
          <w:rPr>
            <w:rStyle w:val="Hyperlink"/>
            <w:rFonts w:asciiTheme="minorHAnsi" w:hAnsiTheme="minorHAnsi"/>
          </w:rPr>
          <w:t>org</w:t>
        </w:r>
        <w:r w:rsidRPr="0059426C">
          <w:rPr>
            <w:rStyle w:val="Hyperlink"/>
            <w:rFonts w:asciiTheme="minorHAnsi" w:hAnsiTheme="minorHAnsi"/>
            <w:lang w:val="el-GR"/>
          </w:rPr>
          <w:t>.</w:t>
        </w:r>
        <w:r w:rsidRPr="0059426C">
          <w:rPr>
            <w:rStyle w:val="Hyperlink"/>
            <w:rFonts w:asciiTheme="minorHAnsi" w:hAnsiTheme="minorHAnsi"/>
          </w:rPr>
          <w:t>gr</w:t>
        </w:r>
      </w:hyperlink>
      <w:r w:rsidRPr="0059426C">
        <w:rPr>
          <w:rFonts w:asciiTheme="minorHAnsi" w:hAnsiTheme="minorHAnsi"/>
          <w:lang w:val="el-GR"/>
        </w:rPr>
        <w:t xml:space="preserve">.   </w:t>
      </w:r>
    </w:p>
  </w:footnote>
  <w:footnote w:id="8">
    <w:p w:rsidR="0059426C" w:rsidRPr="0059426C" w:rsidRDefault="0059426C" w:rsidP="0059426C">
      <w:pPr>
        <w:pStyle w:val="FootnoteText"/>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Άρθρο 5. </w:t>
      </w:r>
    </w:p>
  </w:footnote>
  <w:footnote w:id="9">
    <w:p w:rsidR="0059426C" w:rsidRPr="0059426C" w:rsidRDefault="0059426C" w:rsidP="0059426C">
      <w:pPr>
        <w:pStyle w:val="FootnoteText"/>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Άρθρο 6. </w:t>
      </w:r>
    </w:p>
  </w:footnote>
  <w:footnote w:id="10">
    <w:p w:rsidR="0059426C" w:rsidRPr="0059426C" w:rsidRDefault="0059426C" w:rsidP="0059426C">
      <w:pPr>
        <w:pStyle w:val="FootnoteText"/>
        <w:jc w:val="both"/>
        <w:rPr>
          <w:rFonts w:asciiTheme="minorHAnsi" w:hAnsiTheme="minorHAnsi"/>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Βλ. Α. Μανιάτης, </w:t>
      </w:r>
      <w:r w:rsidRPr="0059426C">
        <w:rPr>
          <w:rFonts w:asciiTheme="minorHAnsi" w:hAnsiTheme="minorHAnsi"/>
          <w:i/>
          <w:lang w:val="el-GR"/>
        </w:rPr>
        <w:t>Θεσμικές πτυχές των ΜΜΕ υπό την επίδραση των Μ.Μ.Μ.</w:t>
      </w:r>
      <w:r w:rsidRPr="0059426C">
        <w:rPr>
          <w:rFonts w:asciiTheme="minorHAnsi" w:hAnsiTheme="minorHAnsi"/>
          <w:lang w:val="el-GR"/>
        </w:rPr>
        <w:t xml:space="preserve">, Αρχείο Νομολογίας 2006, </w:t>
      </w:r>
      <w:proofErr w:type="spellStart"/>
      <w:r w:rsidRPr="0059426C">
        <w:rPr>
          <w:rFonts w:asciiTheme="minorHAnsi" w:hAnsiTheme="minorHAnsi"/>
          <w:lang w:val="el-GR"/>
        </w:rPr>
        <w:t>σσ</w:t>
      </w:r>
      <w:proofErr w:type="spellEnd"/>
      <w:r w:rsidRPr="0059426C">
        <w:rPr>
          <w:rFonts w:asciiTheme="minorHAnsi" w:hAnsiTheme="minorHAnsi"/>
          <w:lang w:val="el-GR"/>
        </w:rPr>
        <w:t xml:space="preserve">. 733-739, ιδίως σ. 737. </w:t>
      </w:r>
    </w:p>
  </w:footnote>
  <w:footnote w:id="11">
    <w:p w:rsidR="0059426C" w:rsidRPr="0059426C" w:rsidRDefault="0059426C" w:rsidP="0059426C">
      <w:pPr>
        <w:pStyle w:val="FootnoteText"/>
        <w:rPr>
          <w:lang w:val="el-GR"/>
        </w:rPr>
      </w:pPr>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Άρθρο 10. </w:t>
      </w:r>
    </w:p>
  </w:footnote>
  <w:footnote w:id="12">
    <w:p w:rsidR="0059426C" w:rsidRPr="0059426C" w:rsidRDefault="0059426C" w:rsidP="0059426C">
      <w:pPr>
        <w:pStyle w:val="FootnoteText"/>
        <w:jc w:val="both"/>
        <w:rPr>
          <w:rFonts w:asciiTheme="minorHAnsi" w:hAnsiTheme="minorHAnsi"/>
          <w:lang w:val="el-GR"/>
        </w:rPr>
      </w:pPr>
      <w:bookmarkStart w:id="1" w:name="_GoBack"/>
      <w:r w:rsidRPr="0059426C">
        <w:rPr>
          <w:rStyle w:val="FootnoteReference"/>
          <w:rFonts w:asciiTheme="minorHAnsi" w:hAnsiTheme="minorHAnsi"/>
        </w:rPr>
        <w:footnoteRef/>
      </w:r>
      <w:r w:rsidRPr="0059426C">
        <w:rPr>
          <w:rFonts w:asciiTheme="minorHAnsi" w:hAnsiTheme="minorHAnsi"/>
          <w:lang w:val="el-GR"/>
        </w:rPr>
        <w:t xml:space="preserve"> </w:t>
      </w:r>
      <w:r w:rsidRPr="0059426C">
        <w:rPr>
          <w:rFonts w:asciiTheme="minorHAnsi" w:hAnsiTheme="minorHAnsi"/>
          <w:lang w:val="el-GR"/>
        </w:rPr>
        <w:t xml:space="preserve">Βλ. Α. Μανιάτης, </w:t>
      </w:r>
      <w:r w:rsidRPr="0059426C">
        <w:rPr>
          <w:rFonts w:asciiTheme="minorHAnsi" w:hAnsiTheme="minorHAnsi"/>
          <w:i/>
          <w:lang w:val="el-GR"/>
        </w:rPr>
        <w:t>Η εξελικτική πορεία του πολεοδομικού σχεδιασμού</w:t>
      </w:r>
      <w:r w:rsidRPr="0059426C">
        <w:rPr>
          <w:rFonts w:asciiTheme="minorHAnsi" w:hAnsiTheme="minorHAnsi"/>
          <w:lang w:val="el-GR"/>
        </w:rPr>
        <w:t xml:space="preserve">, Νόμος + Φύση </w:t>
      </w:r>
      <w:proofErr w:type="spellStart"/>
      <w:r w:rsidRPr="0059426C">
        <w:rPr>
          <w:rFonts w:asciiTheme="minorHAnsi" w:hAnsiTheme="minorHAnsi"/>
          <w:lang w:val="el-GR"/>
        </w:rPr>
        <w:t>Ιανούαριος</w:t>
      </w:r>
      <w:proofErr w:type="spellEnd"/>
      <w:r w:rsidRPr="0059426C">
        <w:rPr>
          <w:rFonts w:asciiTheme="minorHAnsi" w:hAnsiTheme="minorHAnsi"/>
          <w:lang w:val="el-GR"/>
        </w:rPr>
        <w:t xml:space="preserve"> 2009, </w:t>
      </w:r>
      <w:hyperlink r:id="rId3" w:history="1">
        <w:r w:rsidRPr="0059426C">
          <w:rPr>
            <w:rStyle w:val="Hyperlink"/>
            <w:rFonts w:asciiTheme="minorHAnsi" w:hAnsiTheme="minorHAnsi"/>
          </w:rPr>
          <w:t>www</w:t>
        </w:r>
        <w:r w:rsidRPr="0059426C">
          <w:rPr>
            <w:rStyle w:val="Hyperlink"/>
            <w:rFonts w:asciiTheme="minorHAnsi" w:hAnsiTheme="minorHAnsi"/>
            <w:lang w:val="el-GR"/>
          </w:rPr>
          <w:t>.</w:t>
        </w:r>
        <w:proofErr w:type="spellStart"/>
        <w:r w:rsidRPr="0059426C">
          <w:rPr>
            <w:rStyle w:val="Hyperlink"/>
            <w:rFonts w:asciiTheme="minorHAnsi" w:hAnsiTheme="minorHAnsi"/>
          </w:rPr>
          <w:t>nomosphysis</w:t>
        </w:r>
        <w:proofErr w:type="spellEnd"/>
        <w:r w:rsidRPr="0059426C">
          <w:rPr>
            <w:rStyle w:val="Hyperlink"/>
            <w:rFonts w:asciiTheme="minorHAnsi" w:hAnsiTheme="minorHAnsi"/>
            <w:lang w:val="el-GR"/>
          </w:rPr>
          <w:t>.</w:t>
        </w:r>
        <w:r w:rsidRPr="0059426C">
          <w:rPr>
            <w:rStyle w:val="Hyperlink"/>
            <w:rFonts w:asciiTheme="minorHAnsi" w:hAnsiTheme="minorHAnsi"/>
          </w:rPr>
          <w:t>org</w:t>
        </w:r>
        <w:r w:rsidRPr="0059426C">
          <w:rPr>
            <w:rStyle w:val="Hyperlink"/>
            <w:rFonts w:asciiTheme="minorHAnsi" w:hAnsiTheme="minorHAnsi"/>
            <w:lang w:val="el-GR"/>
          </w:rPr>
          <w:t>.</w:t>
        </w:r>
        <w:r w:rsidRPr="0059426C">
          <w:rPr>
            <w:rStyle w:val="Hyperlink"/>
            <w:rFonts w:asciiTheme="minorHAnsi" w:hAnsiTheme="minorHAnsi"/>
          </w:rPr>
          <w:t>gr</w:t>
        </w:r>
      </w:hyperlink>
      <w:r w:rsidRPr="0059426C">
        <w:rPr>
          <w:rFonts w:asciiTheme="minorHAnsi" w:hAnsiTheme="minorHAnsi"/>
          <w:lang w:val="el-GR"/>
        </w:rPr>
        <w:t xml:space="preserve"> </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6E4F1A15"/>
    <w:multiLevelType w:val="multilevel"/>
    <w:tmpl w:val="7B2A6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5A168D2"/>
    <w:multiLevelType w:val="multilevel"/>
    <w:tmpl w:val="3E744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ED6926"/>
    <w:multiLevelType w:val="hybridMultilevel"/>
    <w:tmpl w:val="514E73A2"/>
    <w:lvl w:ilvl="0" w:tplc="FC04D16A">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5"/>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9"/>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6"/>
  </w:num>
  <w:num w:numId="28">
    <w:abstractNumId w:val="4"/>
  </w:num>
  <w:num w:numId="29">
    <w:abstractNumId w:val="40"/>
  </w:num>
  <w:num w:numId="30">
    <w:abstractNumId w:val="31"/>
  </w:num>
  <w:num w:numId="31">
    <w:abstractNumId w:val="25"/>
  </w:num>
  <w:num w:numId="32">
    <w:abstractNumId w:val="10"/>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 w:numId="44">
    <w:abstractNumId w:val="34"/>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21A16"/>
    <w:rsid w:val="00026B07"/>
    <w:rsid w:val="00034A28"/>
    <w:rsid w:val="00046B4D"/>
    <w:rsid w:val="00050723"/>
    <w:rsid w:val="00082C02"/>
    <w:rsid w:val="00091342"/>
    <w:rsid w:val="000B1FEC"/>
    <w:rsid w:val="000E0BD3"/>
    <w:rsid w:val="000E514B"/>
    <w:rsid w:val="00110ADD"/>
    <w:rsid w:val="00124510"/>
    <w:rsid w:val="0014378E"/>
    <w:rsid w:val="001509F1"/>
    <w:rsid w:val="00156ABF"/>
    <w:rsid w:val="0017308B"/>
    <w:rsid w:val="001D479D"/>
    <w:rsid w:val="00224459"/>
    <w:rsid w:val="002312E0"/>
    <w:rsid w:val="00247127"/>
    <w:rsid w:val="00251B16"/>
    <w:rsid w:val="00251F93"/>
    <w:rsid w:val="002962FE"/>
    <w:rsid w:val="002C12EC"/>
    <w:rsid w:val="002E2CBD"/>
    <w:rsid w:val="002F4ABB"/>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6744"/>
    <w:rsid w:val="0051708A"/>
    <w:rsid w:val="005225A5"/>
    <w:rsid w:val="00524A80"/>
    <w:rsid w:val="00524AEA"/>
    <w:rsid w:val="00536A03"/>
    <w:rsid w:val="00561F7D"/>
    <w:rsid w:val="00570CEF"/>
    <w:rsid w:val="00585195"/>
    <w:rsid w:val="0059100E"/>
    <w:rsid w:val="0059426C"/>
    <w:rsid w:val="005A4EC8"/>
    <w:rsid w:val="005B786E"/>
    <w:rsid w:val="005E3FD8"/>
    <w:rsid w:val="00610FD2"/>
    <w:rsid w:val="00620220"/>
    <w:rsid w:val="00622D8C"/>
    <w:rsid w:val="006244CF"/>
    <w:rsid w:val="00631ED6"/>
    <w:rsid w:val="006544FE"/>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7F28EE"/>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30685"/>
    <w:rsid w:val="00952845"/>
    <w:rsid w:val="00952AB2"/>
    <w:rsid w:val="00976633"/>
    <w:rsid w:val="00983C0D"/>
    <w:rsid w:val="009A37DA"/>
    <w:rsid w:val="009A5D62"/>
    <w:rsid w:val="009B6FAA"/>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1715C"/>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3E5D"/>
    <w:rsid w:val="00D75310"/>
    <w:rsid w:val="00D8684C"/>
    <w:rsid w:val="00D96A5B"/>
    <w:rsid w:val="00E01BC1"/>
    <w:rsid w:val="00E02D3B"/>
    <w:rsid w:val="00E10403"/>
    <w:rsid w:val="00E17601"/>
    <w:rsid w:val="00E358C2"/>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omosphysis.org.gr" TargetMode="External"/><Relationship Id="rId2" Type="http://schemas.openxmlformats.org/officeDocument/2006/relationships/hyperlink" Target="http://www.nomosphysis.org.gr" TargetMode="External"/><Relationship Id="rId1" Type="http://schemas.openxmlformats.org/officeDocument/2006/relationships/hyperlink" Target="http://www.nomosphysis.org.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C71A53-6925-44F0-8293-F2C46F00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3160</Words>
  <Characters>17070</Characters>
  <Application>Microsoft Office Word</Application>
  <DocSecurity>0</DocSecurity>
  <Lines>142</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3</cp:revision>
  <dcterms:created xsi:type="dcterms:W3CDTF">2015-10-14T12:22:00Z</dcterms:created>
  <dcterms:modified xsi:type="dcterms:W3CDTF">2015-10-14T12:25:00Z</dcterms:modified>
</cp:coreProperties>
</file>