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247127" w:rsidP="00A8327F">
      <w:pPr>
        <w:rPr>
          <w:rFonts w:asciiTheme="minorHAnsi" w:eastAsiaTheme="majorEastAsia" w:hAnsiTheme="minorHAnsi" w:cs="Arial"/>
          <w:b/>
          <w:spacing w:val="5"/>
          <w:sz w:val="36"/>
          <w:szCs w:val="52"/>
          <w:lang w:val="el-GR"/>
        </w:rPr>
      </w:pPr>
      <w:r>
        <w:rPr>
          <w:rFonts w:asciiTheme="minorHAnsi" w:eastAsiaTheme="majorEastAsia" w:hAnsiTheme="minorHAnsi" w:cs="Arial"/>
          <w:b/>
          <w:spacing w:val="5"/>
          <w:sz w:val="36"/>
          <w:szCs w:val="52"/>
          <w:lang w:val="el-GR"/>
        </w:rPr>
        <w:t>ΤΟΥΡΙΣΤΙΚΟ ΔΙΚΑΙΟ</w:t>
      </w:r>
      <w:r>
        <w:rPr>
          <w:rFonts w:asciiTheme="minorHAnsi" w:eastAsiaTheme="majorEastAsia" w:hAnsiTheme="minorHAnsi" w:cs="Arial"/>
          <w:b/>
          <w:spacing w:val="5"/>
          <w:sz w:val="36"/>
          <w:szCs w:val="52"/>
          <w:lang w:val="el-GR"/>
        </w:rPr>
        <w:tab/>
      </w:r>
    </w:p>
    <w:p w:rsidR="00B3399D" w:rsidRPr="00F95531" w:rsidRDefault="00A8327F" w:rsidP="00A8327F">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F95531">
        <w:rPr>
          <w:rFonts w:asciiTheme="minorHAnsi" w:hAnsiTheme="minorHAnsi" w:cs="Arial"/>
          <w:b/>
          <w:bCs/>
          <w:sz w:val="24"/>
          <w:szCs w:val="24"/>
          <w:lang w:val="el-GR"/>
        </w:rPr>
        <w:t>10</w:t>
      </w:r>
      <w:r w:rsidR="00B3399D" w:rsidRPr="00622D8C">
        <w:rPr>
          <w:rFonts w:asciiTheme="minorHAnsi" w:hAnsiTheme="minorHAnsi" w:cs="Arial"/>
          <w:b/>
          <w:bCs/>
          <w:sz w:val="24"/>
          <w:szCs w:val="24"/>
          <w:lang w:val="el-GR"/>
        </w:rPr>
        <w:t xml:space="preserve">: </w:t>
      </w:r>
      <w:r w:rsidR="00F95531" w:rsidRPr="00F95531">
        <w:rPr>
          <w:rFonts w:asciiTheme="minorHAnsi" w:eastAsia="Times New Roman" w:hAnsiTheme="minorHAnsi" w:cs="Times New Roman"/>
          <w:color w:val="000000"/>
          <w:sz w:val="24"/>
          <w:szCs w:val="20"/>
          <w:lang w:val="el-GR" w:eastAsia="el-GR" w:bidi="ar-SA"/>
        </w:rPr>
        <w:t>Ειδικές μορφές τουρισμού κατά το Ειδικό Πλαίσιο Χωροταξικού Σχεδιασμού και Αειφόρου Ανάπτυξης</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737B8B"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737B8B">
        <w:rPr>
          <w:rFonts w:asciiTheme="minorHAnsi" w:hAnsiTheme="minorHAnsi" w:cs="Arial"/>
          <w:sz w:val="24"/>
          <w:szCs w:val="24"/>
          <w:lang w:val="el-GR"/>
        </w:rPr>
        <w:t>Διοίκησης Επιχειρήσεων</w:t>
      </w:r>
    </w:p>
    <w:p w:rsidR="006E09FB" w:rsidRPr="00622D8C" w:rsidRDefault="00737B8B" w:rsidP="00A8327F">
      <w:pPr>
        <w:rPr>
          <w:rFonts w:asciiTheme="minorHAnsi" w:hAnsiTheme="minorHAnsi" w:cs="Arial"/>
          <w:sz w:val="24"/>
          <w:szCs w:val="24"/>
          <w:lang w:val="el-GR"/>
        </w:rPr>
      </w:pPr>
      <w:r>
        <w:rPr>
          <w:rFonts w:asciiTheme="minorHAnsi" w:hAnsiTheme="minorHAnsi" w:cs="Arial"/>
          <w:sz w:val="24"/>
          <w:szCs w:val="24"/>
          <w:lang w:val="el-GR"/>
        </w:rPr>
        <w:t xml:space="preserve">Κατεύθυνση </w:t>
      </w:r>
      <w:r w:rsidR="00247127">
        <w:rPr>
          <w:rFonts w:asciiTheme="minorHAnsi" w:hAnsiTheme="minorHAnsi" w:cs="Arial"/>
          <w:sz w:val="24"/>
          <w:szCs w:val="24"/>
          <w:lang w:val="el-GR"/>
        </w:rPr>
        <w:t xml:space="preserve"> </w:t>
      </w:r>
      <w:r>
        <w:rPr>
          <w:rFonts w:asciiTheme="minorHAnsi" w:hAnsiTheme="minorHAnsi" w:cs="Arial"/>
          <w:sz w:val="24"/>
          <w:szCs w:val="24"/>
          <w:lang w:val="el-GR"/>
        </w:rPr>
        <w:t>Τουριστικών Επιχειρήσεων &amp; Επιχειρήσεων Φιλοξενίας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011B96"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D60CDB" w:rsidRPr="00F13683" w:rsidRDefault="00D60CDB" w:rsidP="009A37DA">
      <w:pPr>
        <w:spacing w:after="0" w:line="240" w:lineRule="auto"/>
        <w:rPr>
          <w:rFonts w:asciiTheme="minorHAnsi" w:eastAsia="Times New Roman" w:hAnsiTheme="minorHAnsi" w:cs="Times New Roman"/>
          <w:color w:val="000000"/>
          <w:sz w:val="24"/>
          <w:szCs w:val="24"/>
          <w:lang w:val="el-GR" w:eastAsia="el-GR" w:bidi="ar-SA"/>
        </w:rPr>
      </w:pPr>
    </w:p>
    <w:p w:rsidR="00011B96" w:rsidRPr="00011B96" w:rsidRDefault="00011B96" w:rsidP="00011B96">
      <w:pPr>
        <w:pStyle w:val="BodyText21"/>
        <w:rPr>
          <w:rFonts w:asciiTheme="minorHAnsi" w:hAnsiTheme="minorHAnsi"/>
          <w:szCs w:val="24"/>
        </w:rPr>
      </w:pPr>
      <w:r w:rsidRPr="00011B96">
        <w:rPr>
          <w:rFonts w:asciiTheme="minorHAnsi" w:hAnsiTheme="minorHAnsi"/>
          <w:szCs w:val="24"/>
        </w:rPr>
        <w:t>10.1 Αστικός Τουρισμός</w:t>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t>Το πλαίσιο δίνει και ιδιαίτερες κατευθύνσεις για τις σημαντικότερες περιπτώσεις ειδικών μορφών τουρισμού. Ειδικότερα, αναφέρεται, στο άρ.6, στις ειδικές μορφές τουρισμού, χωρίς όμως να καθορίζει το περιεχόμενο της έννοιας «ειδικές μορφές τουρισμού». Οι αυτοτελώς αναφερόμενες, κατά ενδεικτική και όχι περιοριστική απαρίθμηση, στο πλαίσιο ειδικές μορφές τουρισμού είναι:</w:t>
      </w:r>
    </w:p>
    <w:p w:rsidR="00011B96" w:rsidRPr="00011B96" w:rsidRDefault="00011B96" w:rsidP="00011B96">
      <w:pPr>
        <w:pStyle w:val="BodyText21"/>
        <w:numPr>
          <w:ilvl w:val="0"/>
          <w:numId w:val="47"/>
        </w:numPr>
        <w:rPr>
          <w:rFonts w:asciiTheme="minorHAnsi" w:hAnsiTheme="minorHAnsi"/>
          <w:b w:val="0"/>
          <w:szCs w:val="24"/>
          <w:lang w:val="en-US"/>
        </w:rPr>
      </w:pPr>
      <w:r w:rsidRPr="00011B96">
        <w:rPr>
          <w:rFonts w:asciiTheme="minorHAnsi" w:hAnsiTheme="minorHAnsi"/>
          <w:b w:val="0"/>
          <w:szCs w:val="24"/>
        </w:rPr>
        <w:t xml:space="preserve">ο συνεδριακός – εκθεσιακός τουρισμός, </w:t>
      </w:r>
    </w:p>
    <w:p w:rsidR="00011B96" w:rsidRPr="00011B96" w:rsidRDefault="00011B96" w:rsidP="00011B96">
      <w:pPr>
        <w:pStyle w:val="BodyText21"/>
        <w:numPr>
          <w:ilvl w:val="0"/>
          <w:numId w:val="47"/>
        </w:numPr>
        <w:rPr>
          <w:rFonts w:asciiTheme="minorHAnsi" w:hAnsiTheme="minorHAnsi"/>
          <w:b w:val="0"/>
          <w:szCs w:val="24"/>
        </w:rPr>
      </w:pPr>
      <w:r w:rsidRPr="00011B96">
        <w:rPr>
          <w:rFonts w:asciiTheme="minorHAnsi" w:hAnsiTheme="minorHAnsi"/>
          <w:b w:val="0"/>
          <w:szCs w:val="24"/>
        </w:rPr>
        <w:t xml:space="preserve">ο αστικός τουρισμός, </w:t>
      </w:r>
    </w:p>
    <w:p w:rsidR="00011B96" w:rsidRPr="00011B96" w:rsidRDefault="00011B96" w:rsidP="00011B96">
      <w:pPr>
        <w:pStyle w:val="BodyText21"/>
        <w:numPr>
          <w:ilvl w:val="0"/>
          <w:numId w:val="47"/>
        </w:numPr>
        <w:rPr>
          <w:rFonts w:asciiTheme="minorHAnsi" w:hAnsiTheme="minorHAnsi"/>
          <w:b w:val="0"/>
          <w:szCs w:val="24"/>
        </w:rPr>
      </w:pPr>
      <w:r w:rsidRPr="00011B96">
        <w:rPr>
          <w:rFonts w:asciiTheme="minorHAnsi" w:hAnsiTheme="minorHAnsi"/>
          <w:b w:val="0"/>
          <w:szCs w:val="24"/>
        </w:rPr>
        <w:t xml:space="preserve">ο θαλάσσιος τουρισμός, </w:t>
      </w:r>
    </w:p>
    <w:p w:rsidR="00011B96" w:rsidRPr="00011B96" w:rsidRDefault="00011B96" w:rsidP="00011B96">
      <w:pPr>
        <w:pStyle w:val="BodyText21"/>
        <w:numPr>
          <w:ilvl w:val="0"/>
          <w:numId w:val="47"/>
        </w:numPr>
        <w:rPr>
          <w:rFonts w:asciiTheme="minorHAnsi" w:hAnsiTheme="minorHAnsi"/>
          <w:b w:val="0"/>
          <w:szCs w:val="24"/>
        </w:rPr>
      </w:pPr>
      <w:r w:rsidRPr="00011B96">
        <w:rPr>
          <w:rFonts w:asciiTheme="minorHAnsi" w:hAnsiTheme="minorHAnsi"/>
          <w:b w:val="0"/>
          <w:szCs w:val="24"/>
        </w:rPr>
        <w:t xml:space="preserve">ο πολιτισμικός τουρισμός, </w:t>
      </w:r>
    </w:p>
    <w:p w:rsidR="00011B96" w:rsidRPr="00011B96" w:rsidRDefault="00011B96" w:rsidP="00011B96">
      <w:pPr>
        <w:pStyle w:val="BodyText21"/>
        <w:numPr>
          <w:ilvl w:val="0"/>
          <w:numId w:val="47"/>
        </w:numPr>
        <w:rPr>
          <w:rFonts w:asciiTheme="minorHAnsi" w:hAnsiTheme="minorHAnsi"/>
          <w:b w:val="0"/>
          <w:szCs w:val="24"/>
        </w:rPr>
      </w:pPr>
      <w:r w:rsidRPr="00011B96">
        <w:rPr>
          <w:rFonts w:asciiTheme="minorHAnsi" w:hAnsiTheme="minorHAnsi"/>
          <w:b w:val="0"/>
          <w:szCs w:val="24"/>
        </w:rPr>
        <w:t xml:space="preserve">ο αθλητικός τουρισμός, </w:t>
      </w:r>
    </w:p>
    <w:p w:rsidR="00011B96" w:rsidRPr="00011B96" w:rsidRDefault="00011B96" w:rsidP="00011B96">
      <w:pPr>
        <w:pStyle w:val="BodyText21"/>
        <w:numPr>
          <w:ilvl w:val="0"/>
          <w:numId w:val="47"/>
        </w:numPr>
        <w:rPr>
          <w:rFonts w:asciiTheme="minorHAnsi" w:hAnsiTheme="minorHAnsi"/>
          <w:b w:val="0"/>
          <w:szCs w:val="24"/>
        </w:rPr>
      </w:pPr>
      <w:r w:rsidRPr="00011B96">
        <w:rPr>
          <w:rFonts w:asciiTheme="minorHAnsi" w:hAnsiTheme="minorHAnsi"/>
          <w:b w:val="0"/>
          <w:szCs w:val="24"/>
        </w:rPr>
        <w:t xml:space="preserve">ο ιαματικός και θεραπευτικός τουρισμός, </w:t>
      </w:r>
    </w:p>
    <w:p w:rsidR="00011B96" w:rsidRPr="00011B96" w:rsidRDefault="00011B96" w:rsidP="00011B96">
      <w:pPr>
        <w:pStyle w:val="BodyText21"/>
        <w:numPr>
          <w:ilvl w:val="0"/>
          <w:numId w:val="47"/>
        </w:numPr>
        <w:rPr>
          <w:rFonts w:asciiTheme="minorHAnsi" w:hAnsiTheme="minorHAnsi"/>
          <w:b w:val="0"/>
          <w:szCs w:val="24"/>
        </w:rPr>
      </w:pPr>
      <w:r w:rsidRPr="00011B96">
        <w:rPr>
          <w:rFonts w:asciiTheme="minorHAnsi" w:hAnsiTheme="minorHAnsi"/>
          <w:b w:val="0"/>
          <w:szCs w:val="24"/>
        </w:rPr>
        <w:t xml:space="preserve">ο τουρισμός υπαίθρου, </w:t>
      </w:r>
    </w:p>
    <w:p w:rsidR="00011B96" w:rsidRPr="00011B96" w:rsidRDefault="00011B96" w:rsidP="00011B96">
      <w:pPr>
        <w:pStyle w:val="BodyText21"/>
        <w:numPr>
          <w:ilvl w:val="0"/>
          <w:numId w:val="47"/>
        </w:numPr>
        <w:rPr>
          <w:rFonts w:asciiTheme="minorHAnsi" w:hAnsiTheme="minorHAnsi"/>
          <w:b w:val="0"/>
          <w:szCs w:val="24"/>
        </w:rPr>
      </w:pPr>
      <w:r w:rsidRPr="00011B96">
        <w:rPr>
          <w:rFonts w:asciiTheme="minorHAnsi" w:hAnsiTheme="minorHAnsi"/>
          <w:b w:val="0"/>
          <w:szCs w:val="24"/>
        </w:rPr>
        <w:t xml:space="preserve">ο </w:t>
      </w:r>
      <w:proofErr w:type="spellStart"/>
      <w:r w:rsidRPr="00011B96">
        <w:rPr>
          <w:rFonts w:asciiTheme="minorHAnsi" w:hAnsiTheme="minorHAnsi"/>
          <w:b w:val="0"/>
          <w:szCs w:val="24"/>
        </w:rPr>
        <w:t>γεωτουρισμός</w:t>
      </w:r>
      <w:proofErr w:type="spellEnd"/>
      <w:r w:rsidRPr="00011B96">
        <w:rPr>
          <w:rFonts w:asciiTheme="minorHAnsi" w:hAnsiTheme="minorHAnsi"/>
          <w:b w:val="0"/>
          <w:szCs w:val="24"/>
        </w:rPr>
        <w:t xml:space="preserve">, </w:t>
      </w:r>
    </w:p>
    <w:p w:rsidR="00011B96" w:rsidRDefault="00011B96" w:rsidP="00011B96">
      <w:pPr>
        <w:pStyle w:val="BodyText21"/>
        <w:numPr>
          <w:ilvl w:val="0"/>
          <w:numId w:val="47"/>
        </w:numPr>
        <w:rPr>
          <w:rFonts w:asciiTheme="minorHAnsi" w:hAnsiTheme="minorHAnsi"/>
          <w:b w:val="0"/>
          <w:szCs w:val="24"/>
        </w:rPr>
      </w:pPr>
      <w:r w:rsidRPr="00011B96">
        <w:rPr>
          <w:rFonts w:asciiTheme="minorHAnsi" w:hAnsiTheme="minorHAnsi"/>
          <w:b w:val="0"/>
          <w:szCs w:val="24"/>
        </w:rPr>
        <w:t xml:space="preserve">άλλες ειδικές – εναλλακτικές μορφές τουρισμού.  </w:t>
      </w:r>
    </w:p>
    <w:p w:rsidR="00011B96" w:rsidRPr="00011B96" w:rsidRDefault="00011B96" w:rsidP="00011B96">
      <w:pPr>
        <w:pStyle w:val="BodyText21"/>
        <w:ind w:left="420"/>
        <w:rPr>
          <w:rFonts w:asciiTheme="minorHAnsi" w:hAnsiTheme="minorHAnsi"/>
          <w:b w:val="0"/>
          <w:szCs w:val="24"/>
        </w:rPr>
      </w:pPr>
    </w:p>
    <w:p w:rsidR="00011B96" w:rsidRDefault="00011B96" w:rsidP="00011B96">
      <w:pPr>
        <w:pStyle w:val="BodyText21"/>
        <w:rPr>
          <w:rFonts w:asciiTheme="minorHAnsi" w:hAnsiTheme="minorHAnsi"/>
          <w:b w:val="0"/>
          <w:szCs w:val="24"/>
        </w:rPr>
      </w:pPr>
      <w:r w:rsidRPr="00011B96">
        <w:rPr>
          <w:rFonts w:asciiTheme="minorHAnsi" w:hAnsiTheme="minorHAnsi"/>
          <w:b w:val="0"/>
          <w:szCs w:val="24"/>
        </w:rPr>
        <w:t xml:space="preserve">Ειδικότερα, όσον αφορά τον αστικό τουρισμό, έχει απαλειφθεί στο νέο πλαίσιο η ρήτρα του παλαιού πλαισίου ότι αυτός προωθείται κατά προτεραιότητα στην Αθήνα, στη Θεσσαλονίκη, στις μεγάλες πόλεις (Πάτρα, Λάρισα, Ηράκλειο) και σε τουριστικές περιοχές με αξιόλογα αστικά κέντρα (όπως ο  Βόλος, το Ναύπλιο, η Χώρα της Κέρκυρας, η Χώρα της Ρόδου, η Πόλη των Χανίων, τα Ιωάννινα, η Καστοριά, η Καβάλα, η Ξάνθη, η Ερμούπολη, η Μυτιλήνη, η Κως, η Καλαμάτα, η Κομοτηνή, η πόλη του Ρεθύμνου, η Χαλκίδα, η Κοζάνη, τα Τρίκαλα, η Λαμία, η Δράμα, η χώρα της Καλύμνου). Προτεινόταν ρητά για όλες τις παραπάνω πόλεις η κατά προτεραιότητα προώθηση δράσεων, που αφορούν την ανάδειξη και αναβάθμιση των ιστορικών κέντρων, μνημείων, αρχαιολογικών χώρων και λοιπών αξιόλογων στοιχείων του φυσικού και πολιτιστικού περιβάλλοντός τους. </w:t>
      </w:r>
    </w:p>
    <w:p w:rsidR="00011B96" w:rsidRDefault="00011B96">
      <w:pPr>
        <w:rPr>
          <w:rFonts w:asciiTheme="minorHAnsi" w:eastAsia="Times New Roman" w:hAnsiTheme="minorHAnsi" w:cs="Times New Roman"/>
          <w:sz w:val="24"/>
          <w:szCs w:val="24"/>
          <w:lang w:val="el-GR" w:eastAsia="el-GR" w:bidi="ar-SA"/>
        </w:rPr>
      </w:pPr>
      <w:r>
        <w:rPr>
          <w:rFonts w:asciiTheme="minorHAnsi" w:hAnsiTheme="minorHAnsi"/>
          <w:b/>
          <w:szCs w:val="24"/>
        </w:rPr>
        <w:br w:type="page"/>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lastRenderedPageBreak/>
        <w:t>Αντιθέτως, το νέο πλαίσιο περιλαμβάνει χωρίς αυτές τις επισημάνσεις αρχής τον εξής κατάλογο δράσεων προς προώθηση:</w:t>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t>α. Υποστήριξη του ρόλου των πόλεων ως αυτόνομων προορισμών τουρισμού σύντομης διάρκειας (</w:t>
      </w:r>
      <w:r w:rsidRPr="00011B96">
        <w:rPr>
          <w:rFonts w:asciiTheme="minorHAnsi" w:hAnsiTheme="minorHAnsi"/>
          <w:b w:val="0"/>
          <w:szCs w:val="24"/>
          <w:lang w:val="en-US"/>
        </w:rPr>
        <w:t>city</w:t>
      </w:r>
      <w:r w:rsidRPr="00011B96">
        <w:rPr>
          <w:rFonts w:asciiTheme="minorHAnsi" w:hAnsiTheme="minorHAnsi"/>
          <w:b w:val="0"/>
          <w:szCs w:val="24"/>
        </w:rPr>
        <w:t xml:space="preserve"> </w:t>
      </w:r>
      <w:r w:rsidRPr="00011B96">
        <w:rPr>
          <w:rFonts w:asciiTheme="minorHAnsi" w:hAnsiTheme="minorHAnsi"/>
          <w:b w:val="0"/>
          <w:szCs w:val="24"/>
          <w:lang w:val="en-US"/>
        </w:rPr>
        <w:t>break</w:t>
      </w:r>
      <w:r w:rsidRPr="00011B96">
        <w:rPr>
          <w:rFonts w:asciiTheme="minorHAnsi" w:hAnsiTheme="minorHAnsi"/>
          <w:b w:val="0"/>
          <w:szCs w:val="24"/>
        </w:rPr>
        <w:t xml:space="preserve">), πράγμα που αποτελεί πρωτοτυπία του νέου πλαισίου, </w:t>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t xml:space="preserve">β. Ανάδειξη και αναβάθμιση των ιστορικών κέντρων, μνημείων, αρχαιολογικών χώρων και λοιπών αξιόλογων στοιχείων του φυσικού και πολιτιστικού περιβάλλοντος των αστικών κέντρων, πράγμα που στην ουσία δεν αποτελεί πρωτοτυπία του νέου πλαισίου τουλάχιστον για τις προαναφερθείσες πόλεις, σύμφωνα με τις παραπάνω επισημάνσεις, </w:t>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t>γ. ‘</w:t>
      </w:r>
      <w:proofErr w:type="spellStart"/>
      <w:r w:rsidRPr="00011B96">
        <w:rPr>
          <w:rFonts w:asciiTheme="minorHAnsi" w:hAnsiTheme="minorHAnsi"/>
          <w:b w:val="0"/>
          <w:szCs w:val="24"/>
        </w:rPr>
        <w:t>Ενταξη</w:t>
      </w:r>
      <w:proofErr w:type="spellEnd"/>
      <w:r w:rsidRPr="00011B96">
        <w:rPr>
          <w:rFonts w:asciiTheme="minorHAnsi" w:hAnsiTheme="minorHAnsi"/>
          <w:b w:val="0"/>
          <w:szCs w:val="24"/>
        </w:rPr>
        <w:t xml:space="preserve"> των αστικών κέντρων σε εθνικά και διεθνή δίκτυα βάσει  θεματικών ενοτήτων, π.χ. κοινή ιστορία, αρχιτεκτονική, τοπική παραγωγή κ.ά.,</w:t>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t xml:space="preserve">δ. Αναβάθμιση και επέκταση των παρεχόμενων υπηρεσιών και δραστηριοτήτων σε μουσεία, εκθετήρια, σύγχρονες εγκαταστάσεις πληροφόρησης, φεστιβάλ και άλλες θεματικές ή πολιτιστικές εκδηλώσεις, </w:t>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t xml:space="preserve">ε. Εκσυγχρονισμός και βελτίωση της ποιότητας του ξενοδοχειακού δυναμικού των αστικών περιοχών με κατασκευή νέων καταλυμάτων υψηλών προδιαγραφών, παράλληλη απόσυρση απαξιωμένων μονάδων κατά τις εκάστοτε ισχύουσες διατάξεις, </w:t>
      </w:r>
      <w:proofErr w:type="spellStart"/>
      <w:r w:rsidRPr="00011B96">
        <w:rPr>
          <w:rFonts w:asciiTheme="minorHAnsi" w:hAnsiTheme="minorHAnsi"/>
          <w:b w:val="0"/>
          <w:szCs w:val="24"/>
        </w:rPr>
        <w:t>επανάχρηση</w:t>
      </w:r>
      <w:proofErr w:type="spellEnd"/>
      <w:r w:rsidRPr="00011B96">
        <w:rPr>
          <w:rFonts w:asciiTheme="minorHAnsi" w:hAnsiTheme="minorHAnsi"/>
          <w:b w:val="0"/>
          <w:szCs w:val="24"/>
        </w:rPr>
        <w:t xml:space="preserve"> του υφιστάμενου κτιριακού αποθέματος οποιασδήποτε χρήσης με τη μετατροπή του σε τουριστικά καταλύματα και υποστηρικτικές χρήσεις καθώς και ανάπτυξη οργανωμένων χωρικών υποδοχέων στις ευρύτερες περιοχές των πόλεων,</w:t>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t xml:space="preserve">στ.  Αναβάθμιση του ρόλου των Μέσων Μαζικής Μεταφοράς, βελτίωση της κυκλοφορίας και της ασφάλειας των πεζών καθώς και της προσβασιμότητας των εμποδιζόμενων ατόμων,  </w:t>
      </w:r>
    </w:p>
    <w:p w:rsidR="00011B96" w:rsidRPr="00011B96" w:rsidRDefault="00011B96" w:rsidP="00011B96">
      <w:pPr>
        <w:pStyle w:val="BodyText21"/>
        <w:rPr>
          <w:rFonts w:asciiTheme="minorHAnsi" w:hAnsiTheme="minorHAnsi"/>
          <w:b w:val="0"/>
          <w:szCs w:val="24"/>
        </w:rPr>
      </w:pPr>
      <w:r w:rsidRPr="00011B96">
        <w:rPr>
          <w:rFonts w:asciiTheme="minorHAnsi" w:hAnsiTheme="minorHAnsi"/>
          <w:b w:val="0"/>
          <w:szCs w:val="24"/>
        </w:rPr>
        <w:t xml:space="preserve">ζ.  Κατάλληλη σήμανση και ενημέρωση των επισκεπτών για τη θέση και το περιεχόμενο των τουριστικών πόρων και εξασφάλιση εύκολης πρόσβασης σε αυτούς, στοιχείο που μπορεί να ερμηνευθεί υπέρ της ανάδειξης των ήδη εντοπισμένων και ενδεχομένως καταχωμένων μνημείων και της αρχαιολογικής ανασκαφής για την αποκάλυψή τους και την επιτόπια διατήρησή τους.  </w:t>
      </w:r>
    </w:p>
    <w:p w:rsidR="00011B96" w:rsidRDefault="00011B96">
      <w:pPr>
        <w:rPr>
          <w:rFonts w:asciiTheme="minorHAnsi" w:eastAsia="Times New Roman" w:hAnsiTheme="minorHAnsi" w:cs="Times New Roman"/>
          <w:sz w:val="24"/>
          <w:szCs w:val="24"/>
          <w:lang w:val="el-GR" w:eastAsia="el-GR" w:bidi="ar-SA"/>
        </w:rPr>
      </w:pPr>
      <w:r>
        <w:rPr>
          <w:rFonts w:asciiTheme="minorHAnsi" w:hAnsiTheme="minorHAnsi"/>
          <w:b/>
          <w:szCs w:val="24"/>
        </w:rPr>
        <w:br w:type="page"/>
      </w:r>
    </w:p>
    <w:p w:rsidR="00011B96" w:rsidRPr="00011B96" w:rsidRDefault="00011B96" w:rsidP="00011B96">
      <w:pPr>
        <w:pStyle w:val="BodyText21"/>
        <w:rPr>
          <w:rFonts w:asciiTheme="minorHAnsi" w:hAnsiTheme="minorHAnsi"/>
          <w:szCs w:val="24"/>
        </w:rPr>
      </w:pPr>
      <w:r w:rsidRPr="00011B96">
        <w:rPr>
          <w:rFonts w:asciiTheme="minorHAnsi" w:hAnsiTheme="minorHAnsi"/>
          <w:szCs w:val="24"/>
        </w:rPr>
        <w:lastRenderedPageBreak/>
        <w:t xml:space="preserve">10.2 Θαλάσσιος Τουρισμός </w:t>
      </w:r>
    </w:p>
    <w:p w:rsidR="00F95531" w:rsidRPr="00011B96" w:rsidRDefault="00011B96" w:rsidP="00011B96">
      <w:pPr>
        <w:pStyle w:val="BodyText21"/>
        <w:rPr>
          <w:rFonts w:asciiTheme="minorHAnsi" w:hAnsiTheme="minorHAnsi"/>
          <w:b w:val="0"/>
          <w:szCs w:val="24"/>
        </w:rPr>
      </w:pPr>
      <w:bookmarkStart w:id="0" w:name="_GoBack"/>
      <w:bookmarkEnd w:id="0"/>
      <w:r w:rsidRPr="00011B96">
        <w:rPr>
          <w:rFonts w:asciiTheme="minorHAnsi" w:hAnsiTheme="minorHAnsi"/>
          <w:b w:val="0"/>
          <w:szCs w:val="24"/>
        </w:rPr>
        <w:t>Ο Θαλάσσιος τουρισμός περιλαμβάνει τον τουρισμό κρουαζιέρας, για τον οποίο προβλέπεται η δημιουργία εγκατάστασης εξυπηρέτησης επιβατών κρουαζιέρας (</w:t>
      </w:r>
      <w:proofErr w:type="spellStart"/>
      <w:r w:rsidRPr="00011B96">
        <w:rPr>
          <w:rFonts w:asciiTheme="minorHAnsi" w:hAnsiTheme="minorHAnsi"/>
          <w:b w:val="0"/>
          <w:szCs w:val="24"/>
        </w:rPr>
        <w:t>ports</w:t>
      </w:r>
      <w:proofErr w:type="spellEnd"/>
      <w:r w:rsidRPr="00011B96">
        <w:rPr>
          <w:rFonts w:asciiTheme="minorHAnsi" w:hAnsiTheme="minorHAnsi"/>
          <w:b w:val="0"/>
          <w:szCs w:val="24"/>
        </w:rPr>
        <w:t xml:space="preserve"> </w:t>
      </w:r>
      <w:proofErr w:type="spellStart"/>
      <w:r w:rsidRPr="00011B96">
        <w:rPr>
          <w:rFonts w:asciiTheme="minorHAnsi" w:hAnsiTheme="minorHAnsi"/>
          <w:b w:val="0"/>
          <w:szCs w:val="24"/>
        </w:rPr>
        <w:t>of</w:t>
      </w:r>
      <w:proofErr w:type="spellEnd"/>
      <w:r w:rsidRPr="00011B96">
        <w:rPr>
          <w:rFonts w:asciiTheme="minorHAnsi" w:hAnsiTheme="minorHAnsi"/>
          <w:b w:val="0"/>
          <w:szCs w:val="24"/>
        </w:rPr>
        <w:t xml:space="preserve"> </w:t>
      </w:r>
      <w:proofErr w:type="spellStart"/>
      <w:r w:rsidRPr="00011B96">
        <w:rPr>
          <w:rFonts w:asciiTheme="minorHAnsi" w:hAnsiTheme="minorHAnsi"/>
          <w:b w:val="0"/>
          <w:szCs w:val="24"/>
        </w:rPr>
        <w:t>call</w:t>
      </w:r>
      <w:proofErr w:type="spellEnd"/>
      <w:r w:rsidRPr="00011B96">
        <w:rPr>
          <w:rFonts w:asciiTheme="minorHAnsi" w:hAnsiTheme="minorHAnsi"/>
          <w:b w:val="0"/>
          <w:szCs w:val="24"/>
        </w:rPr>
        <w:t xml:space="preserve">) σε λιμάνια που έχουν ήδη δυνατότητα ή μπορούν να αποκτήσουν τη δυνατότητα να εξυπηρετούν μεγάλα κρουαζιερόπλοια. Το σημαντικότερο γεγονός που συνέβη το 2013 όσον αφορά την εμπορική ναυτιλία ήταν η ανάπτυξη της κρουαζιέρας στην Ελλάδα. Η απελευθέρωση της κρουαζιέρας και από ελληνικά πλοία είναι γεγονός και οι διεθνείς εταιρείες </w:t>
      </w:r>
      <w:proofErr w:type="spellStart"/>
      <w:r w:rsidRPr="00011B96">
        <w:rPr>
          <w:rFonts w:asciiTheme="minorHAnsi" w:hAnsiTheme="minorHAnsi"/>
          <w:b w:val="0"/>
          <w:szCs w:val="24"/>
        </w:rPr>
        <w:t>κρουαζιεροπλοίων</w:t>
      </w:r>
      <w:proofErr w:type="spellEnd"/>
      <w:r w:rsidRPr="00011B96">
        <w:rPr>
          <w:rFonts w:asciiTheme="minorHAnsi" w:hAnsiTheme="minorHAnsi"/>
          <w:b w:val="0"/>
          <w:szCs w:val="24"/>
        </w:rPr>
        <w:t xml:space="preserve"> επιλέγουν την Ελλάδα και τα ελληνικά νησιά στα προγράμματά τους. Η μεγιστοποίηση της ωφέλειας από την κρουαζιέρα θα έλθει όταν τα λιμάνια της Ελλάδας θα επιλέγονται ως λιμάνια εκκινήσεως της κρουαζιέρας (</w:t>
      </w:r>
      <w:proofErr w:type="spellStart"/>
      <w:r w:rsidRPr="00011B96">
        <w:rPr>
          <w:rFonts w:asciiTheme="minorHAnsi" w:hAnsiTheme="minorHAnsi"/>
          <w:b w:val="0"/>
          <w:szCs w:val="24"/>
        </w:rPr>
        <w:t>home</w:t>
      </w:r>
      <w:proofErr w:type="spellEnd"/>
      <w:r w:rsidRPr="00011B96">
        <w:rPr>
          <w:rFonts w:asciiTheme="minorHAnsi" w:hAnsiTheme="minorHAnsi"/>
          <w:b w:val="0"/>
          <w:szCs w:val="24"/>
        </w:rPr>
        <w:t xml:space="preserve"> </w:t>
      </w:r>
      <w:proofErr w:type="spellStart"/>
      <w:r w:rsidRPr="00011B96">
        <w:rPr>
          <w:rFonts w:asciiTheme="minorHAnsi" w:hAnsiTheme="minorHAnsi"/>
          <w:b w:val="0"/>
          <w:szCs w:val="24"/>
        </w:rPr>
        <w:t>ports</w:t>
      </w:r>
      <w:proofErr w:type="spellEnd"/>
      <w:r w:rsidRPr="00011B96">
        <w:rPr>
          <w:rFonts w:asciiTheme="minorHAnsi" w:hAnsiTheme="minorHAnsi"/>
          <w:b w:val="0"/>
          <w:szCs w:val="24"/>
        </w:rPr>
        <w:t xml:space="preserve">). Για αυτό στο πλαίσιο προβλέπεται η βελτίωση και ο </w:t>
      </w:r>
      <w:proofErr w:type="spellStart"/>
      <w:r w:rsidRPr="00011B96">
        <w:rPr>
          <w:rFonts w:asciiTheme="minorHAnsi" w:hAnsiTheme="minorHAnsi"/>
          <w:b w:val="0"/>
          <w:szCs w:val="24"/>
        </w:rPr>
        <w:t>εκσυχρονισμός</w:t>
      </w:r>
      <w:proofErr w:type="spellEnd"/>
      <w:r w:rsidRPr="00011B96">
        <w:rPr>
          <w:rFonts w:asciiTheme="minorHAnsi" w:hAnsiTheme="minorHAnsi"/>
          <w:b w:val="0"/>
          <w:szCs w:val="24"/>
        </w:rPr>
        <w:t xml:space="preserve"> των υφιστάμενων και η δημιουργία πυλών εισόδου επιβατών κρουαζιέρας (</w:t>
      </w:r>
      <w:r w:rsidRPr="00011B96">
        <w:rPr>
          <w:rFonts w:asciiTheme="minorHAnsi" w:hAnsiTheme="minorHAnsi"/>
          <w:b w:val="0"/>
          <w:szCs w:val="24"/>
          <w:lang w:val="en-US"/>
        </w:rPr>
        <w:t>home</w:t>
      </w:r>
      <w:r w:rsidRPr="00011B96">
        <w:rPr>
          <w:rFonts w:asciiTheme="minorHAnsi" w:hAnsiTheme="minorHAnsi"/>
          <w:b w:val="0"/>
          <w:szCs w:val="24"/>
        </w:rPr>
        <w:t xml:space="preserve"> </w:t>
      </w:r>
      <w:r w:rsidRPr="00011B96">
        <w:rPr>
          <w:rFonts w:asciiTheme="minorHAnsi" w:hAnsiTheme="minorHAnsi"/>
          <w:b w:val="0"/>
          <w:szCs w:val="24"/>
          <w:lang w:val="en-US"/>
        </w:rPr>
        <w:t>ports</w:t>
      </w:r>
      <w:r w:rsidRPr="00011B96">
        <w:rPr>
          <w:rFonts w:asciiTheme="minorHAnsi" w:hAnsiTheme="minorHAnsi"/>
          <w:b w:val="0"/>
          <w:szCs w:val="24"/>
        </w:rPr>
        <w:t xml:space="preserve">) με σύγχρονες εγκαταστάσεις κατά προτεραιότητα σε αναπτυγμένες, αναπτυσσόμενες και μητροπολιτικές περιοχές που διαθέτουν αεροδρόμια διεθνών συνδέσεων. Οι άλλες υποκατηγορίες του θαλάσσιου τουρισμού είναι ο τουρισμός με σκάφη αναψυχής, ο τουρισμός καταδύσεων αναψυχής, ο - για πρώτη φορά προβλεπόμενος και ρυθμιζόμενος στο νέο πλαίσιο – αλιευτικός τουρισμός και ο τουρισμός καταδύσεων αναψυχής (με τη δημιουργία θαλάσσιων καταδυτικών πάρκων και υποβρύχιων μουσείων). </w:t>
      </w:r>
      <w:r w:rsidR="00F95531" w:rsidRPr="00011B96">
        <w:rPr>
          <w:rFonts w:asciiTheme="minorHAnsi" w:hAnsiTheme="minorHAnsi"/>
          <w:b w:val="0"/>
          <w:szCs w:val="24"/>
        </w:rPr>
        <w:t xml:space="preserve"> </w:t>
      </w:r>
    </w:p>
    <w:p w:rsidR="00F13683" w:rsidRPr="00F13683" w:rsidRDefault="00F13683" w:rsidP="00F13683">
      <w:pPr>
        <w:overflowPunct w:val="0"/>
        <w:autoSpaceDE w:val="0"/>
        <w:autoSpaceDN w:val="0"/>
        <w:adjustRightInd w:val="0"/>
        <w:spacing w:after="0" w:line="360" w:lineRule="auto"/>
        <w:jc w:val="both"/>
        <w:textAlignment w:val="baseline"/>
        <w:rPr>
          <w:rFonts w:asciiTheme="minorHAnsi" w:eastAsia="Times New Roman" w:hAnsiTheme="minorHAnsi" w:cs="Times New Roman"/>
          <w:sz w:val="24"/>
          <w:szCs w:val="24"/>
          <w:lang w:val="el-GR" w:eastAsia="el-GR" w:bidi="ar-SA"/>
        </w:rPr>
      </w:pPr>
      <w:r w:rsidRPr="00F13683">
        <w:rPr>
          <w:rFonts w:asciiTheme="minorHAnsi" w:eastAsia="Times New Roman" w:hAnsiTheme="minorHAnsi" w:cs="Times New Roman"/>
          <w:sz w:val="24"/>
          <w:szCs w:val="24"/>
          <w:lang w:val="el-GR" w:eastAsia="el-GR" w:bidi="ar-SA"/>
        </w:rPr>
        <w:t xml:space="preserve">  </w:t>
      </w:r>
    </w:p>
    <w:p w:rsidR="00E15BF2" w:rsidRPr="00E15BF2" w:rsidRDefault="00E15BF2" w:rsidP="00E15BF2">
      <w:pPr>
        <w:spacing w:after="0" w:line="360" w:lineRule="auto"/>
        <w:jc w:val="both"/>
        <w:rPr>
          <w:rFonts w:asciiTheme="minorHAnsi" w:eastAsia="Times New Roman" w:hAnsiTheme="minorHAnsi" w:cs="Times New Roman"/>
          <w:bCs/>
          <w:sz w:val="24"/>
          <w:szCs w:val="24"/>
          <w:lang w:val="el-GR" w:eastAsia="el-GR" w:bidi="ar-SA"/>
        </w:rPr>
      </w:pPr>
      <w:r w:rsidRPr="00E15BF2">
        <w:rPr>
          <w:rFonts w:asciiTheme="minorHAnsi" w:eastAsia="Times New Roman" w:hAnsiTheme="minorHAnsi" w:cs="Times New Roman"/>
          <w:bCs/>
          <w:sz w:val="24"/>
          <w:szCs w:val="24"/>
          <w:lang w:val="el-GR" w:eastAsia="el-GR" w:bidi="ar-SA"/>
        </w:rPr>
        <w:t xml:space="preserve">  </w:t>
      </w:r>
    </w:p>
    <w:p w:rsidR="009B6FAA" w:rsidRPr="0059426C" w:rsidRDefault="0059426C" w:rsidP="0059426C">
      <w:pPr>
        <w:spacing w:line="360" w:lineRule="auto"/>
        <w:jc w:val="both"/>
        <w:rPr>
          <w:rFonts w:asciiTheme="minorHAnsi" w:hAnsiTheme="minorHAnsi"/>
          <w:sz w:val="24"/>
          <w:szCs w:val="24"/>
          <w:lang w:val="el-GR"/>
        </w:rPr>
      </w:pPr>
      <w:r w:rsidRPr="0059426C">
        <w:rPr>
          <w:rFonts w:asciiTheme="minorHAnsi" w:eastAsia="Times New Roman" w:hAnsiTheme="minorHAnsi" w:cs="Times New Roman"/>
          <w:sz w:val="24"/>
          <w:szCs w:val="20"/>
          <w:lang w:val="el-GR" w:eastAsia="el-GR" w:bidi="ar-SA"/>
        </w:rPr>
        <w:t xml:space="preserve"> </w:t>
      </w:r>
      <w:r w:rsidR="009B6FAA" w:rsidRPr="0059426C">
        <w:rPr>
          <w:rFonts w:asciiTheme="minorHAnsi" w:hAnsiTheme="minorHAnsi"/>
          <w:sz w:val="24"/>
          <w:szCs w:val="24"/>
          <w:lang w:val="el-GR"/>
        </w:rPr>
        <w:t xml:space="preserve">    </w:t>
      </w:r>
    </w:p>
    <w:p w:rsidR="009B6FAA" w:rsidRDefault="009B6FAA" w:rsidP="009B6FAA">
      <w:pPr>
        <w:pStyle w:val="BodyText21"/>
        <w:rPr>
          <w:rFonts w:ascii="Times New Roman" w:hAnsi="Times New Roman"/>
          <w:b w:val="0"/>
          <w:szCs w:val="24"/>
        </w:rPr>
      </w:pPr>
    </w:p>
    <w:p w:rsidR="002E2CBD" w:rsidRPr="002E2CBD" w:rsidRDefault="002E2CBD" w:rsidP="002E2CBD">
      <w:pPr>
        <w:spacing w:after="0" w:line="360" w:lineRule="auto"/>
        <w:jc w:val="both"/>
        <w:rPr>
          <w:rFonts w:asciiTheme="minorHAnsi" w:eastAsia="Times New Roman" w:hAnsiTheme="minorHAnsi" w:cs="Times New Roman"/>
          <w:b/>
          <w:sz w:val="24"/>
          <w:szCs w:val="24"/>
          <w:lang w:val="el-GR" w:eastAsia="el-GR" w:bidi="ar-SA"/>
        </w:rPr>
      </w:pPr>
      <w:r w:rsidRPr="002E2CBD">
        <w:rPr>
          <w:rFonts w:asciiTheme="minorHAnsi" w:eastAsia="Times New Roman" w:hAnsiTheme="minorHAnsi" w:cs="Times New Roman"/>
          <w:sz w:val="24"/>
          <w:szCs w:val="24"/>
          <w:lang w:val="el-GR" w:eastAsia="el-GR" w:bidi="ar-SA"/>
        </w:rPr>
        <w:t xml:space="preserve"> </w:t>
      </w:r>
    </w:p>
    <w:p w:rsidR="00516744" w:rsidRPr="00516744" w:rsidRDefault="00516744" w:rsidP="00516744">
      <w:pPr>
        <w:spacing w:after="0" w:line="360" w:lineRule="auto"/>
        <w:jc w:val="both"/>
        <w:rPr>
          <w:rFonts w:asciiTheme="minorHAnsi" w:eastAsia="Times New Roman" w:hAnsiTheme="minorHAnsi" w:cs="Times New Roman"/>
          <w:sz w:val="24"/>
          <w:szCs w:val="24"/>
          <w:lang w:val="el-GR" w:eastAsia="el-GR" w:bidi="ar-SA"/>
        </w:rPr>
      </w:pPr>
    </w:p>
    <w:p w:rsidR="006544FE"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r w:rsidRPr="00A03D5B">
        <w:rPr>
          <w:rFonts w:asciiTheme="minorHAnsi" w:eastAsia="Times New Roman" w:hAnsiTheme="minorHAnsi" w:cs="Times New Roman"/>
          <w:sz w:val="24"/>
          <w:szCs w:val="24"/>
          <w:lang w:val="el-GR" w:eastAsia="el-GR" w:bidi="ar-SA"/>
        </w:rPr>
        <w:t xml:space="preserve">   </w:t>
      </w:r>
      <w:r w:rsidRPr="00A03D5B">
        <w:rPr>
          <w:rFonts w:ascii="Times New Roman" w:eastAsia="Times New Roman" w:hAnsi="Times New Roman" w:cs="Times New Roman"/>
          <w:sz w:val="24"/>
          <w:szCs w:val="24"/>
          <w:lang w:val="el-GR" w:eastAsia="el-GR" w:bidi="ar-SA"/>
        </w:rPr>
        <w:t xml:space="preserve">   </w:t>
      </w:r>
    </w:p>
    <w:p w:rsidR="006544FE" w:rsidRDefault="006544FE">
      <w:pPr>
        <w:rPr>
          <w:rFonts w:ascii="Times New Roman" w:eastAsia="Times New Roman" w:hAnsi="Times New Roman" w:cs="Times New Roman"/>
          <w:sz w:val="24"/>
          <w:szCs w:val="24"/>
          <w:lang w:val="el-GR" w:eastAsia="el-GR" w:bidi="ar-SA"/>
        </w:rPr>
      </w:pPr>
      <w:r>
        <w:rPr>
          <w:rFonts w:ascii="Times New Roman" w:eastAsia="Times New Roman" w:hAnsi="Times New Roman" w:cs="Times New Roman"/>
          <w:sz w:val="24"/>
          <w:szCs w:val="24"/>
          <w:lang w:val="el-GR" w:eastAsia="el-GR" w:bidi="ar-SA"/>
        </w:rPr>
        <w:br w:type="page"/>
      </w:r>
    </w:p>
    <w:p w:rsidR="00A03D5B" w:rsidRPr="00A03D5B" w:rsidRDefault="00A03D5B" w:rsidP="00A03D5B">
      <w:p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val="el-GR" w:eastAsia="el-GR" w:bidi="ar-SA"/>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011B96" w:rsidTr="00EC5992">
        <w:trPr>
          <w:trHeight w:val="1516"/>
        </w:trPr>
        <w:tc>
          <w:tcPr>
            <w:tcW w:w="8612" w:type="dxa"/>
          </w:tcPr>
          <w:p w:rsidR="003C30BC" w:rsidRDefault="00C61677" w:rsidP="00034A28">
            <w:pPr>
              <w:jc w:val="center"/>
              <w:rPr>
                <w:rFonts w:asciiTheme="minorHAnsi" w:hAnsiTheme="minorHAnsi" w:cs="Arial"/>
                <w:b/>
                <w:sz w:val="32"/>
                <w:szCs w:val="32"/>
                <w:lang w:val="el-GR"/>
              </w:rPr>
            </w:pPr>
            <w:r w:rsidRPr="00C61677">
              <w:rPr>
                <w:rFonts w:asciiTheme="minorHAnsi" w:eastAsia="Times New Roman" w:hAnsiTheme="minorHAnsi" w:cs="Times New Roman"/>
                <w:sz w:val="24"/>
                <w:szCs w:val="24"/>
                <w:lang w:val="el-GR" w:eastAsia="el-GR" w:bidi="ar-SA"/>
              </w:rPr>
              <w:t xml:space="preserve">   </w:t>
            </w:r>
            <w:r w:rsidRPr="00C61677">
              <w:rPr>
                <w:rFonts w:ascii="Times New Roman" w:eastAsia="Times New Roman" w:hAnsi="Times New Roman" w:cs="Times New Roman"/>
                <w:sz w:val="24"/>
                <w:szCs w:val="24"/>
                <w:lang w:val="el-GR" w:eastAsia="el-GR" w:bidi="ar-SA"/>
              </w:rPr>
              <w:t xml:space="preserve">    </w:t>
            </w:r>
            <w:r w:rsidR="00896C68" w:rsidRPr="00C61677">
              <w:rPr>
                <w:rFonts w:asciiTheme="minorHAnsi" w:hAnsiTheme="minorHAnsi"/>
                <w:sz w:val="24"/>
                <w:szCs w:val="24"/>
                <w:lang w:val="el-GR"/>
              </w:rPr>
              <w:t xml:space="preserve">      </w:t>
            </w:r>
            <w:r w:rsidR="00A8327F" w:rsidRPr="00A8327F">
              <w:rPr>
                <w:rFonts w:asciiTheme="minorHAnsi" w:eastAsia="Times New Roman" w:hAnsiTheme="minorHAnsi" w:cs="Times New Roman"/>
                <w:color w:val="000000"/>
                <w:sz w:val="24"/>
                <w:szCs w:val="20"/>
                <w:lang w:val="el-GR" w:eastAsia="el-GR" w:bidi="ar-SA"/>
              </w:rPr>
              <w:t xml:space="preserve">    </w:t>
            </w:r>
            <w:r w:rsidR="00A8327F">
              <w:rPr>
                <w:rFonts w:asciiTheme="minorHAnsi" w:eastAsia="Times New Roman" w:hAnsiTheme="minorHAnsi" w:cs="Times New Roman"/>
                <w:sz w:val="24"/>
                <w:szCs w:val="24"/>
                <w:lang w:val="el-GR" w:eastAsia="el-GR" w:bidi="ar-SA"/>
              </w:rPr>
              <w:br w:type="page"/>
            </w: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2133FCD" wp14:editId="47838CFD">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C61677" w:rsidRDefault="00C61677"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3C30BC">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201</w:t>
      </w:r>
      <w:r w:rsidR="00804DEA">
        <w:rPr>
          <w:rFonts w:asciiTheme="minorHAnsi" w:hAnsiTheme="minorHAnsi"/>
          <w:lang w:val="el-GR"/>
        </w:rPr>
        <w:t>3</w:t>
      </w:r>
      <w:r w:rsidRPr="003C30BC">
        <w:rPr>
          <w:rFonts w:asciiTheme="minorHAnsi" w:hAnsiTheme="minorHAnsi"/>
          <w:lang w:val="el-GR"/>
        </w:rPr>
        <w:t xml:space="preserve">. </w:t>
      </w:r>
      <w:r w:rsidR="00811E5F">
        <w:rPr>
          <w:rFonts w:asciiTheme="minorHAnsi" w:hAnsiTheme="minorHAnsi"/>
          <w:lang w:val="el-GR"/>
        </w:rPr>
        <w:t>Αντώνιος Μανιάτης</w:t>
      </w:r>
      <w:r w:rsidRPr="003C30BC">
        <w:rPr>
          <w:rFonts w:asciiTheme="minorHAnsi" w:hAnsiTheme="minorHAnsi"/>
          <w:lang w:val="el-GR"/>
        </w:rPr>
        <w:t>. «</w:t>
      </w:r>
      <w:r w:rsidR="00896C68">
        <w:rPr>
          <w:rFonts w:asciiTheme="minorHAnsi" w:hAnsiTheme="minorHAnsi"/>
          <w:lang w:val="el-GR"/>
        </w:rPr>
        <w:t>ΤΟΥΡΙΣΤΙΚΟ ΔΙΚΑΙΟ</w:t>
      </w:r>
      <w:r w:rsidRPr="003C30BC">
        <w:rPr>
          <w:rFonts w:asciiTheme="minorHAnsi" w:hAnsiTheme="minorHAnsi"/>
          <w:lang w:val="el-GR"/>
        </w:rPr>
        <w:t xml:space="preserve">. </w:t>
      </w:r>
      <w:r w:rsidR="00F95531" w:rsidRPr="00F95531">
        <w:rPr>
          <w:rFonts w:asciiTheme="minorHAnsi" w:hAnsiTheme="minorHAnsi"/>
          <w:lang w:val="el-GR"/>
        </w:rPr>
        <w:t>Ενότητα 10: Ειδικές μορφές τουρισμού κατά το Ειδικό Πλαίσιο Χωροταξικού Σχεδιασμού και Αειφόρου Ανάπτυξης</w:t>
      </w:r>
      <w:r w:rsidRPr="00622D8C">
        <w:rPr>
          <w:rFonts w:asciiTheme="minorHAnsi" w:hAnsiTheme="minorHAnsi"/>
          <w:lang w:val="el-GR"/>
        </w:rPr>
        <w:t>». Έκδοση: 1.0. Αθήνα 201</w:t>
      </w:r>
      <w:r w:rsidR="00804DEA">
        <w:rPr>
          <w:rFonts w:asciiTheme="minorHAnsi" w:hAnsiTheme="minorHAnsi"/>
          <w:lang w:val="el-GR"/>
        </w:rPr>
        <w:t>3</w:t>
      </w:r>
      <w:r w:rsidRPr="00622D8C">
        <w:rPr>
          <w:rFonts w:asciiTheme="minorHAnsi" w:hAnsiTheme="minorHAnsi"/>
          <w:lang w:val="el-GR"/>
        </w:rPr>
        <w:t xml:space="preserve">. Διαθέσιμο από τη δικτυακή διεύθυνση: </w:t>
      </w:r>
      <w:hyperlink r:id="rId14"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011B96"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011B96"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011B96"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011B96"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011B96"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011B96"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011B96"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ListParagraph"/>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C2" w:rsidRDefault="00E358C2">
      <w:pPr>
        <w:spacing w:after="0" w:line="240" w:lineRule="auto"/>
      </w:pPr>
      <w:r>
        <w:separator/>
      </w:r>
    </w:p>
  </w:endnote>
  <w:endnote w:type="continuationSeparator" w:id="0">
    <w:p w:rsidR="00E358C2" w:rsidRDefault="00E3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11B96">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C2" w:rsidRDefault="00E358C2">
      <w:pPr>
        <w:spacing w:after="0" w:line="240" w:lineRule="auto"/>
      </w:pPr>
      <w:r>
        <w:separator/>
      </w:r>
    </w:p>
  </w:footnote>
  <w:footnote w:type="continuationSeparator" w:id="0">
    <w:p w:rsidR="00E358C2" w:rsidRDefault="00E35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2F4ABB" w:rsidP="00F25361">
    <w:pPr>
      <w:pStyle w:val="Header"/>
    </w:pPr>
    <w:r>
      <w:rPr>
        <w:noProof/>
      </w:rPr>
      <w:drawing>
        <wp:anchor distT="0" distB="0" distL="114300" distR="114300" simplePos="0" relativeHeight="251660288" behindDoc="0" locked="0" layoutInCell="1" allowOverlap="1" wp14:anchorId="2B2EB96D" wp14:editId="3A8C5E98">
          <wp:simplePos x="0" y="0"/>
          <wp:positionH relativeFrom="column">
            <wp:posOffset>13855</wp:posOffset>
          </wp:positionH>
          <wp:positionV relativeFrom="paragraph">
            <wp:posOffset>-359525</wp:posOffset>
          </wp:positionV>
          <wp:extent cx="5322909" cy="7861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322909" cy="786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34E48F0" wp14:editId="2D50EED6">
              <wp:simplePos x="0" y="0"/>
              <wp:positionH relativeFrom="column">
                <wp:posOffset>-955964</wp:posOffset>
              </wp:positionH>
              <wp:positionV relativeFrom="paragraph">
                <wp:posOffset>-373380</wp:posOffset>
              </wp:positionV>
              <wp:extent cx="7371080" cy="793115"/>
              <wp:effectExtent l="0" t="0" r="0" b="0"/>
              <wp:wrapNone/>
              <wp:docPr id="22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1080" cy="79311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199" o:spid="_x0000_s1026" style="position:absolute;margin-left:-75.25pt;margin-top:-29.4pt;width:580.4pt;height:62.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" filled="f" stroked="f" strokeweight="1pt"/>
          </w:pict>
        </mc:Fallback>
      </mc:AlternateContent>
    </w:r>
  </w:p>
  <w:p w:rsidR="00026B07" w:rsidRDefault="0002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CB70CE"/>
    <w:multiLevelType w:val="hybridMultilevel"/>
    <w:tmpl w:val="A2D06CA6"/>
    <w:lvl w:ilvl="0" w:tplc="55B8E6B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7">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3E3612"/>
    <w:multiLevelType w:val="singleLevel"/>
    <w:tmpl w:val="38068EB4"/>
    <w:lvl w:ilvl="0">
      <w:start w:val="1"/>
      <w:numFmt w:val="decimal"/>
      <w:lvlText w:val="%1."/>
      <w:legacy w:legacy="1" w:legacySpace="340" w:legacyIndent="567"/>
      <w:lvlJc w:val="left"/>
      <w:pPr>
        <w:ind w:left="567" w:hanging="567"/>
      </w:pPr>
    </w:lvl>
  </w:abstractNum>
  <w:abstractNum w:abstractNumId="35">
    <w:nsid w:val="6E4F1A15"/>
    <w:multiLevelType w:val="multilevel"/>
    <w:tmpl w:val="7B2A6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5A168D2"/>
    <w:multiLevelType w:val="multilevel"/>
    <w:tmpl w:val="3E744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8ED6926"/>
    <w:multiLevelType w:val="hybridMultilevel"/>
    <w:tmpl w:val="514E73A2"/>
    <w:lvl w:ilvl="0" w:tplc="FC04D16A">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1">
    <w:nsid w:val="7B1534BD"/>
    <w:multiLevelType w:val="singleLevel"/>
    <w:tmpl w:val="D7C8CB5A"/>
    <w:lvl w:ilvl="0">
      <w:start w:val="1"/>
      <w:numFmt w:val="decimal"/>
      <w:lvlText w:val="%1."/>
      <w:legacy w:legacy="1" w:legacySpace="113" w:legacyIndent="397"/>
      <w:lvlJc w:val="left"/>
      <w:pPr>
        <w:ind w:left="397" w:hanging="397"/>
      </w:pPr>
    </w:lvl>
  </w:abstractNum>
  <w:abstractNum w:abstractNumId="42">
    <w:nsid w:val="7CEF28B9"/>
    <w:multiLevelType w:val="singleLevel"/>
    <w:tmpl w:val="FA842124"/>
    <w:lvl w:ilvl="0">
      <w:start w:val="1"/>
      <w:numFmt w:val="decimal"/>
      <w:lvlText w:val="%1."/>
      <w:legacy w:legacy="1" w:legacySpace="0" w:legacyIndent="340"/>
      <w:lvlJc w:val="left"/>
      <w:pPr>
        <w:ind w:left="340" w:hanging="340"/>
      </w:pPr>
    </w:lvl>
  </w:abstractNum>
  <w:abstractNum w:abstractNumId="43">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6"/>
  </w:num>
  <w:num w:numId="7">
    <w:abstractNumId w:val="30"/>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40"/>
  </w:num>
  <w:num w:numId="19">
    <w:abstractNumId w:val="11"/>
  </w:num>
  <w:num w:numId="20">
    <w:abstractNumId w:val="33"/>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1"/>
  </w:num>
  <w:num w:numId="27">
    <w:abstractNumId w:val="37"/>
  </w:num>
  <w:num w:numId="28">
    <w:abstractNumId w:val="4"/>
  </w:num>
  <w:num w:numId="29">
    <w:abstractNumId w:val="41"/>
  </w:num>
  <w:num w:numId="30">
    <w:abstractNumId w:val="32"/>
  </w:num>
  <w:num w:numId="31">
    <w:abstractNumId w:val="26"/>
  </w:num>
  <w:num w:numId="32">
    <w:abstractNumId w:val="10"/>
  </w:num>
  <w:num w:numId="33">
    <w:abstractNumId w:val="43"/>
  </w:num>
  <w:num w:numId="34">
    <w:abstractNumId w:val="42"/>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4"/>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29"/>
  </w:num>
  <w:num w:numId="44">
    <w:abstractNumId w:val="35"/>
  </w:num>
  <w:num w:numId="45">
    <w:abstractNumId w:val="38"/>
  </w:num>
  <w:num w:numId="46">
    <w:abstractNumId w:val="3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187C"/>
    <w:rsid w:val="00011B96"/>
    <w:rsid w:val="00021A16"/>
    <w:rsid w:val="00026B07"/>
    <w:rsid w:val="00034A28"/>
    <w:rsid w:val="00046B4D"/>
    <w:rsid w:val="00050723"/>
    <w:rsid w:val="00082C02"/>
    <w:rsid w:val="00091342"/>
    <w:rsid w:val="000B1FEC"/>
    <w:rsid w:val="000B4A44"/>
    <w:rsid w:val="000E0BD3"/>
    <w:rsid w:val="000E514B"/>
    <w:rsid w:val="00110ADD"/>
    <w:rsid w:val="00124510"/>
    <w:rsid w:val="0014378E"/>
    <w:rsid w:val="001509F1"/>
    <w:rsid w:val="00156ABF"/>
    <w:rsid w:val="0017308B"/>
    <w:rsid w:val="001D479D"/>
    <w:rsid w:val="00224459"/>
    <w:rsid w:val="002312E0"/>
    <w:rsid w:val="00247127"/>
    <w:rsid w:val="00251B16"/>
    <w:rsid w:val="00251F93"/>
    <w:rsid w:val="002962FE"/>
    <w:rsid w:val="002C12EC"/>
    <w:rsid w:val="002D20BB"/>
    <w:rsid w:val="002E2CBD"/>
    <w:rsid w:val="002F4ABB"/>
    <w:rsid w:val="003138D2"/>
    <w:rsid w:val="00330C19"/>
    <w:rsid w:val="003A425C"/>
    <w:rsid w:val="003A5263"/>
    <w:rsid w:val="003B4BA2"/>
    <w:rsid w:val="003C30BC"/>
    <w:rsid w:val="003E19A4"/>
    <w:rsid w:val="0040090D"/>
    <w:rsid w:val="00404494"/>
    <w:rsid w:val="00412BD3"/>
    <w:rsid w:val="00443DC2"/>
    <w:rsid w:val="00492406"/>
    <w:rsid w:val="004B683B"/>
    <w:rsid w:val="004D22C5"/>
    <w:rsid w:val="004F5C7F"/>
    <w:rsid w:val="004F6F1A"/>
    <w:rsid w:val="00516744"/>
    <w:rsid w:val="0051708A"/>
    <w:rsid w:val="005225A5"/>
    <w:rsid w:val="00524A80"/>
    <w:rsid w:val="00524AEA"/>
    <w:rsid w:val="00536A03"/>
    <w:rsid w:val="00561F7D"/>
    <w:rsid w:val="00570CEF"/>
    <w:rsid w:val="00585195"/>
    <w:rsid w:val="0059100E"/>
    <w:rsid w:val="0059426C"/>
    <w:rsid w:val="005A4EC8"/>
    <w:rsid w:val="005B786E"/>
    <w:rsid w:val="005E3FD8"/>
    <w:rsid w:val="00610FD2"/>
    <w:rsid w:val="00620220"/>
    <w:rsid w:val="00622D8C"/>
    <w:rsid w:val="006244CF"/>
    <w:rsid w:val="00631ED6"/>
    <w:rsid w:val="00653561"/>
    <w:rsid w:val="006544FE"/>
    <w:rsid w:val="0066673F"/>
    <w:rsid w:val="00670635"/>
    <w:rsid w:val="00670806"/>
    <w:rsid w:val="00681616"/>
    <w:rsid w:val="006A77FC"/>
    <w:rsid w:val="006B1DB3"/>
    <w:rsid w:val="006B5BB0"/>
    <w:rsid w:val="006C74D6"/>
    <w:rsid w:val="006D504A"/>
    <w:rsid w:val="006E09FB"/>
    <w:rsid w:val="006E3DF7"/>
    <w:rsid w:val="006F2B13"/>
    <w:rsid w:val="00737B8B"/>
    <w:rsid w:val="00765CFA"/>
    <w:rsid w:val="00771088"/>
    <w:rsid w:val="00794F0C"/>
    <w:rsid w:val="00796961"/>
    <w:rsid w:val="00797D0C"/>
    <w:rsid w:val="007A0072"/>
    <w:rsid w:val="007A718D"/>
    <w:rsid w:val="007C14DB"/>
    <w:rsid w:val="007F28EE"/>
    <w:rsid w:val="00801848"/>
    <w:rsid w:val="00804DEA"/>
    <w:rsid w:val="00811E5F"/>
    <w:rsid w:val="00813B7B"/>
    <w:rsid w:val="00831DD5"/>
    <w:rsid w:val="00837A94"/>
    <w:rsid w:val="00877473"/>
    <w:rsid w:val="00890B02"/>
    <w:rsid w:val="0089231A"/>
    <w:rsid w:val="00892742"/>
    <w:rsid w:val="0089557D"/>
    <w:rsid w:val="00896C68"/>
    <w:rsid w:val="008B711F"/>
    <w:rsid w:val="008C0A18"/>
    <w:rsid w:val="008D57A5"/>
    <w:rsid w:val="008E11E4"/>
    <w:rsid w:val="008F51E5"/>
    <w:rsid w:val="00910930"/>
    <w:rsid w:val="009146EA"/>
    <w:rsid w:val="00924347"/>
    <w:rsid w:val="00930685"/>
    <w:rsid w:val="00952845"/>
    <w:rsid w:val="00952AB2"/>
    <w:rsid w:val="00967AE5"/>
    <w:rsid w:val="00976633"/>
    <w:rsid w:val="00983C0D"/>
    <w:rsid w:val="009A37DA"/>
    <w:rsid w:val="009A5D62"/>
    <w:rsid w:val="009B6FAA"/>
    <w:rsid w:val="009D1D2E"/>
    <w:rsid w:val="009D2669"/>
    <w:rsid w:val="00A03D5B"/>
    <w:rsid w:val="00A07F4D"/>
    <w:rsid w:val="00A123F0"/>
    <w:rsid w:val="00A26A14"/>
    <w:rsid w:val="00A36113"/>
    <w:rsid w:val="00A70F4D"/>
    <w:rsid w:val="00A8327F"/>
    <w:rsid w:val="00A96B59"/>
    <w:rsid w:val="00A97906"/>
    <w:rsid w:val="00AC1731"/>
    <w:rsid w:val="00AC2AAC"/>
    <w:rsid w:val="00AD5A3D"/>
    <w:rsid w:val="00AD7803"/>
    <w:rsid w:val="00AF62F6"/>
    <w:rsid w:val="00B03879"/>
    <w:rsid w:val="00B1715C"/>
    <w:rsid w:val="00B23A6A"/>
    <w:rsid w:val="00B3399D"/>
    <w:rsid w:val="00B42635"/>
    <w:rsid w:val="00B44ABE"/>
    <w:rsid w:val="00B72F36"/>
    <w:rsid w:val="00B752AA"/>
    <w:rsid w:val="00BD3346"/>
    <w:rsid w:val="00BE2495"/>
    <w:rsid w:val="00C326BF"/>
    <w:rsid w:val="00C457C1"/>
    <w:rsid w:val="00C61677"/>
    <w:rsid w:val="00C6472A"/>
    <w:rsid w:val="00C71C68"/>
    <w:rsid w:val="00C7453C"/>
    <w:rsid w:val="00C75A5C"/>
    <w:rsid w:val="00C846D0"/>
    <w:rsid w:val="00C94E74"/>
    <w:rsid w:val="00CC3445"/>
    <w:rsid w:val="00CD3DCF"/>
    <w:rsid w:val="00CF0F38"/>
    <w:rsid w:val="00D01161"/>
    <w:rsid w:val="00D11634"/>
    <w:rsid w:val="00D16348"/>
    <w:rsid w:val="00D26F81"/>
    <w:rsid w:val="00D33B00"/>
    <w:rsid w:val="00D60CDB"/>
    <w:rsid w:val="00D6375B"/>
    <w:rsid w:val="00D656BF"/>
    <w:rsid w:val="00D66F27"/>
    <w:rsid w:val="00D70A2A"/>
    <w:rsid w:val="00D73E5D"/>
    <w:rsid w:val="00D75310"/>
    <w:rsid w:val="00D8684C"/>
    <w:rsid w:val="00D96A5B"/>
    <w:rsid w:val="00DE44C3"/>
    <w:rsid w:val="00E01BC1"/>
    <w:rsid w:val="00E02D3B"/>
    <w:rsid w:val="00E10403"/>
    <w:rsid w:val="00E15BF2"/>
    <w:rsid w:val="00E17601"/>
    <w:rsid w:val="00E358C2"/>
    <w:rsid w:val="00E6417D"/>
    <w:rsid w:val="00E828B3"/>
    <w:rsid w:val="00EC5992"/>
    <w:rsid w:val="00EE047E"/>
    <w:rsid w:val="00EE172C"/>
    <w:rsid w:val="00EF3AFC"/>
    <w:rsid w:val="00F127B8"/>
    <w:rsid w:val="00F13683"/>
    <w:rsid w:val="00F20A01"/>
    <w:rsid w:val="00F25361"/>
    <w:rsid w:val="00F652D1"/>
    <w:rsid w:val="00F9553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Accent1">
    <w:name w:val="Medium List 2 Accent 1"/>
    <w:basedOn w:val="TableNormal"/>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dnoteText">
    <w:name w:val="endnote text"/>
    <w:basedOn w:val="Normal"/>
    <w:link w:val="EndnoteTextChar"/>
    <w:uiPriority w:val="99"/>
    <w:semiHidden/>
    <w:unhideWhenUsed/>
    <w:rsid w:val="00811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11E5F"/>
    <w:rPr>
      <w:rFonts w:ascii="Arial" w:eastAsiaTheme="minorEastAsia" w:hAnsi="Arial"/>
      <w:sz w:val="20"/>
      <w:szCs w:val="20"/>
      <w:lang w:bidi="en-US"/>
    </w:rPr>
  </w:style>
  <w:style w:type="character" w:styleId="EndnoteReference">
    <w:name w:val="endnote reference"/>
    <w:basedOn w:val="DefaultParagraphFont"/>
    <w:uiPriority w:val="99"/>
    <w:semiHidden/>
    <w:unhideWhenUsed/>
    <w:rsid w:val="00811E5F"/>
    <w:rPr>
      <w:vertAlign w:val="superscript"/>
    </w:rPr>
  </w:style>
  <w:style w:type="paragraph" w:styleId="FootnoteText">
    <w:name w:val="footnote text"/>
    <w:basedOn w:val="Normal"/>
    <w:link w:val="FootnoteTextChar"/>
    <w:unhideWhenUsed/>
    <w:rsid w:val="00811E5F"/>
    <w:pPr>
      <w:spacing w:after="0" w:line="240" w:lineRule="auto"/>
    </w:pPr>
    <w:rPr>
      <w:sz w:val="20"/>
      <w:szCs w:val="20"/>
    </w:rPr>
  </w:style>
  <w:style w:type="character" w:customStyle="1" w:styleId="FootnoteTextChar">
    <w:name w:val="Footnote Text Char"/>
    <w:basedOn w:val="DefaultParagraphFont"/>
    <w:link w:val="FootnoteText"/>
    <w:rsid w:val="00811E5F"/>
    <w:rPr>
      <w:rFonts w:ascii="Arial" w:eastAsiaTheme="minorEastAsia" w:hAnsi="Arial"/>
      <w:sz w:val="20"/>
      <w:szCs w:val="20"/>
      <w:lang w:bidi="en-US"/>
    </w:rPr>
  </w:style>
  <w:style w:type="character" w:styleId="FootnoteReference">
    <w:name w:val="footnote reference"/>
    <w:aliases w:val="SUPERS,Footnote reference number,Footnote symbol,note TESI,-E Fußnotenzeichen,number,-E Fu?notenzeichen,BVI fnr, BVI fnr,Footnote Reference Superscript"/>
    <w:basedOn w:val="DefaultParagraphFont"/>
    <w:unhideWhenUsed/>
    <w:rsid w:val="00811E5F"/>
    <w:rPr>
      <w:vertAlign w:val="superscript"/>
    </w:rPr>
  </w:style>
  <w:style w:type="paragraph" w:customStyle="1" w:styleId="BodyText21">
    <w:name w:val="Body Text 21"/>
    <w:basedOn w:val="Normal"/>
    <w:rsid w:val="009B6FAA"/>
    <w:pPr>
      <w:overflowPunct w:val="0"/>
      <w:autoSpaceDE w:val="0"/>
      <w:autoSpaceDN w:val="0"/>
      <w:adjustRightInd w:val="0"/>
      <w:spacing w:after="0" w:line="360" w:lineRule="auto"/>
      <w:jc w:val="both"/>
      <w:textAlignment w:val="baseline"/>
    </w:pPr>
    <w:rPr>
      <w:rFonts w:eastAsia="Times New Roman" w:cs="Times New Roman"/>
      <w:b/>
      <w:sz w:val="24"/>
      <w:szCs w:val="20"/>
      <w:lang w:val="el-GR"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0E031-2756-4FB1-8530-8D763CC8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1411</Words>
  <Characters>7621</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9014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alex</cp:lastModifiedBy>
  <cp:revision>4</cp:revision>
  <dcterms:created xsi:type="dcterms:W3CDTF">2015-10-14T12:45:00Z</dcterms:created>
  <dcterms:modified xsi:type="dcterms:W3CDTF">2015-10-15T08:23:00Z</dcterms:modified>
</cp:coreProperties>
</file>