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5260AB" w:rsidRPr="005260AB" w:rsidRDefault="005260AB" w:rsidP="005260AB">
      <w:pPr>
        <w:rPr>
          <w:rFonts w:asciiTheme="minorHAnsi" w:eastAsiaTheme="majorEastAsia" w:hAnsiTheme="minorHAnsi" w:cs="Arial"/>
          <w:b/>
          <w:spacing w:val="5"/>
          <w:sz w:val="36"/>
          <w:szCs w:val="52"/>
          <w:lang w:val="el-GR"/>
        </w:rPr>
      </w:pPr>
      <w:r w:rsidRPr="005260AB">
        <w:rPr>
          <w:rFonts w:asciiTheme="minorHAnsi" w:eastAsiaTheme="majorEastAsia" w:hAnsiTheme="minorHAnsi" w:cs="Arial"/>
          <w:b/>
          <w:spacing w:val="5"/>
          <w:sz w:val="36"/>
          <w:szCs w:val="52"/>
          <w:lang w:val="el-GR"/>
        </w:rPr>
        <w:t xml:space="preserve">Κοστολόγηση </w:t>
      </w:r>
    </w:p>
    <w:p w:rsidR="00B3399D" w:rsidRPr="005260AB" w:rsidRDefault="00B3399D" w:rsidP="00B3399D">
      <w:pPr>
        <w:rPr>
          <w:rFonts w:asciiTheme="minorHAnsi" w:hAnsiTheme="minorHAnsi" w:cs="Arial"/>
          <w:bCs/>
          <w:sz w:val="24"/>
          <w:szCs w:val="24"/>
          <w:lang w:val="el-GR"/>
        </w:rPr>
      </w:pPr>
      <w:r w:rsidRPr="00622D8C">
        <w:rPr>
          <w:rFonts w:asciiTheme="minorHAnsi" w:hAnsiTheme="minorHAnsi" w:cs="Arial"/>
          <w:b/>
          <w:bCs/>
          <w:sz w:val="24"/>
          <w:szCs w:val="24"/>
          <w:lang w:val="el-GR"/>
        </w:rPr>
        <w:t>Ενότητα</w:t>
      </w:r>
      <w:r w:rsidR="002C12EC" w:rsidRPr="00622D8C">
        <w:rPr>
          <w:rFonts w:asciiTheme="minorHAnsi" w:hAnsiTheme="minorHAnsi" w:cs="Arial"/>
          <w:b/>
          <w:bCs/>
          <w:sz w:val="24"/>
          <w:szCs w:val="24"/>
          <w:lang w:val="el-GR"/>
        </w:rPr>
        <w:t xml:space="preserve"> </w:t>
      </w:r>
      <w:r w:rsidR="00CB0B41" w:rsidRPr="00CB0B41">
        <w:rPr>
          <w:rFonts w:asciiTheme="minorHAnsi" w:hAnsiTheme="minorHAnsi" w:cs="Arial"/>
          <w:b/>
          <w:bCs/>
          <w:sz w:val="24"/>
          <w:szCs w:val="24"/>
          <w:lang w:val="el-GR"/>
        </w:rPr>
        <w:t>9</w:t>
      </w:r>
      <w:r w:rsidRPr="00622D8C">
        <w:rPr>
          <w:rFonts w:asciiTheme="minorHAnsi" w:hAnsiTheme="minorHAnsi" w:cs="Arial"/>
          <w:b/>
          <w:bCs/>
          <w:sz w:val="24"/>
          <w:szCs w:val="24"/>
          <w:lang w:val="el-GR"/>
        </w:rPr>
        <w:t xml:space="preserve">: </w:t>
      </w:r>
      <w:r w:rsidR="00CB0B41" w:rsidRPr="00CB0B41">
        <w:rPr>
          <w:rFonts w:asciiTheme="minorHAnsi" w:hAnsiTheme="minorHAnsi" w:cs="Arial"/>
          <w:b/>
          <w:bCs/>
          <w:sz w:val="24"/>
          <w:szCs w:val="24"/>
          <w:lang w:val="el-GR"/>
        </w:rPr>
        <w:t>Γενικά Βιομηχανικά Έξοδα και Κέντρα Κόστους</w:t>
      </w:r>
    </w:p>
    <w:p w:rsidR="005260AB" w:rsidRPr="005260AB" w:rsidRDefault="005260AB" w:rsidP="005260AB">
      <w:pPr>
        <w:pBdr>
          <w:bottom w:val="single" w:sz="24" w:space="1" w:color="auto"/>
        </w:pBdr>
        <w:rPr>
          <w:rFonts w:asciiTheme="minorHAnsi" w:hAnsiTheme="minorHAnsi" w:cs="Arial"/>
          <w:sz w:val="24"/>
          <w:szCs w:val="24"/>
          <w:lang w:val="el-GR"/>
        </w:rPr>
      </w:pPr>
      <w:r w:rsidRPr="005260AB">
        <w:rPr>
          <w:rFonts w:asciiTheme="minorHAnsi" w:hAnsiTheme="minorHAnsi" w:cs="Arial"/>
          <w:sz w:val="24"/>
          <w:szCs w:val="24"/>
          <w:lang w:val="el-GR"/>
        </w:rPr>
        <w:t>Δρ. Αναστάσιος Ε. Πολίτης, Αναπληρωτής Καθηγητής</w:t>
      </w:r>
    </w:p>
    <w:p w:rsidR="00B3399D" w:rsidRPr="00622D8C" w:rsidRDefault="005260AB" w:rsidP="005260AB">
      <w:pPr>
        <w:pBdr>
          <w:bottom w:val="single" w:sz="24" w:space="1" w:color="auto"/>
        </w:pBdr>
        <w:rPr>
          <w:rFonts w:asciiTheme="minorHAnsi" w:hAnsiTheme="minorHAnsi" w:cs="Arial"/>
          <w:lang w:val="el-GR"/>
        </w:rPr>
      </w:pPr>
      <w:r w:rsidRPr="005260AB">
        <w:rPr>
          <w:rFonts w:asciiTheme="minorHAnsi" w:hAnsiTheme="minorHAnsi" w:cs="Arial"/>
          <w:sz w:val="24"/>
          <w:szCs w:val="24"/>
          <w:lang w:val="el-GR"/>
        </w:rPr>
        <w:t>Τεχνολογία Γραφικών Τεχνών</w:t>
      </w: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9333ED"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625A8426" wp14:editId="458C97B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3DA4651A" wp14:editId="66C75D53">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sdt>
      <w:sdtPr>
        <w:rPr>
          <w:rFonts w:eastAsiaTheme="minorEastAsia" w:cstheme="minorBidi"/>
          <w:b w:val="0"/>
          <w:bCs w:val="0"/>
          <w:sz w:val="22"/>
          <w:szCs w:val="22"/>
          <w:lang w:val="el-GR"/>
        </w:rPr>
        <w:id w:val="325404926"/>
        <w:docPartObj>
          <w:docPartGallery w:val="Table of Contents"/>
          <w:docPartUnique/>
        </w:docPartObj>
      </w:sdtPr>
      <w:sdtEndPr>
        <w:rPr>
          <w:lang w:val="en-US"/>
        </w:rPr>
      </w:sdtEndPr>
      <w:sdtContent>
        <w:p w:rsidR="004B47F4" w:rsidRDefault="004B47F4" w:rsidP="004B47F4">
          <w:pPr>
            <w:pStyle w:val="a5"/>
            <w:numPr>
              <w:ilvl w:val="0"/>
              <w:numId w:val="0"/>
            </w:numPr>
            <w:ind w:left="360"/>
          </w:pPr>
          <w:r>
            <w:rPr>
              <w:lang w:val="el-GR"/>
            </w:rPr>
            <w:t>Περιεχόμενα</w:t>
          </w:r>
        </w:p>
        <w:p w:rsidR="00A109F1" w:rsidRDefault="004B47F4">
          <w:pPr>
            <w:pStyle w:val="10"/>
            <w:tabs>
              <w:tab w:val="left" w:pos="480"/>
              <w:tab w:val="right" w:leader="dot" w:pos="8296"/>
            </w:tabs>
            <w:rPr>
              <w:rFonts w:asciiTheme="minorHAnsi" w:hAnsiTheme="minorHAnsi"/>
              <w:noProof/>
              <w:lang w:val="el-GR" w:eastAsia="el-GR" w:bidi="ar-SA"/>
            </w:rPr>
          </w:pPr>
          <w:r>
            <w:fldChar w:fldCharType="begin"/>
          </w:r>
          <w:r>
            <w:instrText xml:space="preserve"> TOC \o "1-3" \h \z \u </w:instrText>
          </w:r>
          <w:r>
            <w:fldChar w:fldCharType="separate"/>
          </w:r>
          <w:hyperlink w:anchor="_Toc425765583" w:history="1">
            <w:r w:rsidR="00A109F1" w:rsidRPr="0000162F">
              <w:rPr>
                <w:rStyle w:val="-"/>
                <w:noProof/>
                <w:lang w:val="el-GR"/>
              </w:rPr>
              <w:t>1.</w:t>
            </w:r>
            <w:r w:rsidR="00A109F1">
              <w:rPr>
                <w:rFonts w:asciiTheme="minorHAnsi" w:hAnsiTheme="minorHAnsi"/>
                <w:noProof/>
                <w:lang w:val="el-GR" w:eastAsia="el-GR" w:bidi="ar-SA"/>
              </w:rPr>
              <w:tab/>
            </w:r>
            <w:r w:rsidR="00A109F1" w:rsidRPr="0000162F">
              <w:rPr>
                <w:rStyle w:val="-"/>
                <w:noProof/>
                <w:lang w:val="el-GR"/>
              </w:rPr>
              <w:t>Γενικά Βιομηχανικά Έξοδα και Κέντρα Κόστους</w:t>
            </w:r>
            <w:r w:rsidR="00A109F1">
              <w:rPr>
                <w:noProof/>
                <w:webHidden/>
              </w:rPr>
              <w:tab/>
            </w:r>
            <w:r w:rsidR="00A109F1">
              <w:rPr>
                <w:noProof/>
                <w:webHidden/>
              </w:rPr>
              <w:fldChar w:fldCharType="begin"/>
            </w:r>
            <w:r w:rsidR="00A109F1">
              <w:rPr>
                <w:noProof/>
                <w:webHidden/>
              </w:rPr>
              <w:instrText xml:space="preserve"> PAGEREF _Toc425765583 \h </w:instrText>
            </w:r>
            <w:r w:rsidR="00A109F1">
              <w:rPr>
                <w:noProof/>
                <w:webHidden/>
              </w:rPr>
            </w:r>
            <w:r w:rsidR="00A109F1">
              <w:rPr>
                <w:noProof/>
                <w:webHidden/>
              </w:rPr>
              <w:fldChar w:fldCharType="separate"/>
            </w:r>
            <w:r w:rsidR="00A109F1">
              <w:rPr>
                <w:noProof/>
                <w:webHidden/>
              </w:rPr>
              <w:t>2</w:t>
            </w:r>
            <w:r w:rsidR="00A109F1">
              <w:rPr>
                <w:noProof/>
                <w:webHidden/>
              </w:rPr>
              <w:fldChar w:fldCharType="end"/>
            </w:r>
          </w:hyperlink>
        </w:p>
        <w:p w:rsidR="00A109F1" w:rsidRDefault="009333ED">
          <w:pPr>
            <w:pStyle w:val="20"/>
            <w:tabs>
              <w:tab w:val="left" w:pos="880"/>
              <w:tab w:val="right" w:leader="dot" w:pos="8296"/>
            </w:tabs>
            <w:rPr>
              <w:rFonts w:asciiTheme="minorHAnsi" w:hAnsiTheme="minorHAnsi"/>
              <w:noProof/>
              <w:lang w:val="el-GR" w:eastAsia="el-GR" w:bidi="ar-SA"/>
            </w:rPr>
          </w:pPr>
          <w:hyperlink w:anchor="_Toc425765584" w:history="1">
            <w:r w:rsidR="00A109F1" w:rsidRPr="0000162F">
              <w:rPr>
                <w:rStyle w:val="-"/>
                <w:noProof/>
                <w:lang w:val="el-GR"/>
              </w:rPr>
              <w:t>1.1</w:t>
            </w:r>
            <w:r w:rsidR="00A109F1">
              <w:rPr>
                <w:rFonts w:asciiTheme="minorHAnsi" w:hAnsiTheme="minorHAnsi"/>
                <w:noProof/>
                <w:lang w:val="el-GR" w:eastAsia="el-GR" w:bidi="ar-SA"/>
              </w:rPr>
              <w:tab/>
            </w:r>
            <w:r w:rsidR="00A109F1" w:rsidRPr="0000162F">
              <w:rPr>
                <w:rStyle w:val="-"/>
                <w:noProof/>
                <w:lang w:val="el-GR"/>
              </w:rPr>
              <w:t>Απορρόφηση ΓΒΕ</w:t>
            </w:r>
            <w:r w:rsidR="00A109F1">
              <w:rPr>
                <w:noProof/>
                <w:webHidden/>
              </w:rPr>
              <w:tab/>
            </w:r>
            <w:r w:rsidR="00A109F1">
              <w:rPr>
                <w:noProof/>
                <w:webHidden/>
              </w:rPr>
              <w:fldChar w:fldCharType="begin"/>
            </w:r>
            <w:r w:rsidR="00A109F1">
              <w:rPr>
                <w:noProof/>
                <w:webHidden/>
              </w:rPr>
              <w:instrText xml:space="preserve"> PAGEREF _Toc425765584 \h </w:instrText>
            </w:r>
            <w:r w:rsidR="00A109F1">
              <w:rPr>
                <w:noProof/>
                <w:webHidden/>
              </w:rPr>
            </w:r>
            <w:r w:rsidR="00A109F1">
              <w:rPr>
                <w:noProof/>
                <w:webHidden/>
              </w:rPr>
              <w:fldChar w:fldCharType="separate"/>
            </w:r>
            <w:r w:rsidR="00A109F1">
              <w:rPr>
                <w:noProof/>
                <w:webHidden/>
              </w:rPr>
              <w:t>3</w:t>
            </w:r>
            <w:r w:rsidR="00A109F1">
              <w:rPr>
                <w:noProof/>
                <w:webHidden/>
              </w:rPr>
              <w:fldChar w:fldCharType="end"/>
            </w:r>
          </w:hyperlink>
        </w:p>
        <w:p w:rsidR="00A109F1" w:rsidRDefault="009333ED">
          <w:pPr>
            <w:pStyle w:val="20"/>
            <w:tabs>
              <w:tab w:val="left" w:pos="880"/>
              <w:tab w:val="right" w:leader="dot" w:pos="8296"/>
            </w:tabs>
            <w:rPr>
              <w:rFonts w:asciiTheme="minorHAnsi" w:hAnsiTheme="minorHAnsi"/>
              <w:noProof/>
              <w:lang w:val="el-GR" w:eastAsia="el-GR" w:bidi="ar-SA"/>
            </w:rPr>
          </w:pPr>
          <w:hyperlink w:anchor="_Toc425765585" w:history="1">
            <w:r w:rsidR="00A109F1" w:rsidRPr="0000162F">
              <w:rPr>
                <w:rStyle w:val="-"/>
                <w:noProof/>
                <w:lang w:val="el-GR"/>
              </w:rPr>
              <w:t>1.2</w:t>
            </w:r>
            <w:r w:rsidR="00A109F1">
              <w:rPr>
                <w:rFonts w:asciiTheme="minorHAnsi" w:hAnsiTheme="minorHAnsi"/>
                <w:noProof/>
                <w:lang w:val="el-GR" w:eastAsia="el-GR" w:bidi="ar-SA"/>
              </w:rPr>
              <w:tab/>
            </w:r>
            <w:r w:rsidR="00A109F1" w:rsidRPr="0000162F">
              <w:rPr>
                <w:rStyle w:val="-"/>
                <w:noProof/>
                <w:lang w:val="el-GR"/>
              </w:rPr>
              <w:t>Βάσεις απορρόφησης</w:t>
            </w:r>
            <w:r w:rsidR="00A109F1">
              <w:rPr>
                <w:noProof/>
                <w:webHidden/>
              </w:rPr>
              <w:tab/>
            </w:r>
            <w:r w:rsidR="00A109F1">
              <w:rPr>
                <w:noProof/>
                <w:webHidden/>
              </w:rPr>
              <w:fldChar w:fldCharType="begin"/>
            </w:r>
            <w:r w:rsidR="00A109F1">
              <w:rPr>
                <w:noProof/>
                <w:webHidden/>
              </w:rPr>
              <w:instrText xml:space="preserve"> PAGEREF _Toc425765585 \h </w:instrText>
            </w:r>
            <w:r w:rsidR="00A109F1">
              <w:rPr>
                <w:noProof/>
                <w:webHidden/>
              </w:rPr>
            </w:r>
            <w:r w:rsidR="00A109F1">
              <w:rPr>
                <w:noProof/>
                <w:webHidden/>
              </w:rPr>
              <w:fldChar w:fldCharType="separate"/>
            </w:r>
            <w:r w:rsidR="00A109F1">
              <w:rPr>
                <w:noProof/>
                <w:webHidden/>
              </w:rPr>
              <w:t>4</w:t>
            </w:r>
            <w:r w:rsidR="00A109F1">
              <w:rPr>
                <w:noProof/>
                <w:webHidden/>
              </w:rPr>
              <w:fldChar w:fldCharType="end"/>
            </w:r>
          </w:hyperlink>
        </w:p>
        <w:p w:rsidR="00A109F1" w:rsidRDefault="009333ED">
          <w:pPr>
            <w:pStyle w:val="20"/>
            <w:tabs>
              <w:tab w:val="left" w:pos="880"/>
              <w:tab w:val="right" w:leader="dot" w:pos="8296"/>
            </w:tabs>
            <w:rPr>
              <w:rFonts w:asciiTheme="minorHAnsi" w:hAnsiTheme="minorHAnsi"/>
              <w:noProof/>
              <w:lang w:val="el-GR" w:eastAsia="el-GR" w:bidi="ar-SA"/>
            </w:rPr>
          </w:pPr>
          <w:hyperlink w:anchor="_Toc425765586" w:history="1">
            <w:r w:rsidR="00A109F1" w:rsidRPr="0000162F">
              <w:rPr>
                <w:rStyle w:val="-"/>
                <w:noProof/>
              </w:rPr>
              <w:t>1.3</w:t>
            </w:r>
            <w:r w:rsidR="00A109F1">
              <w:rPr>
                <w:rFonts w:asciiTheme="minorHAnsi" w:hAnsiTheme="minorHAnsi"/>
                <w:noProof/>
                <w:lang w:val="el-GR" w:eastAsia="el-GR" w:bidi="ar-SA"/>
              </w:rPr>
              <w:tab/>
            </w:r>
            <w:r w:rsidR="00A109F1" w:rsidRPr="0000162F">
              <w:rPr>
                <w:rStyle w:val="-"/>
                <w:noProof/>
              </w:rPr>
              <w:t>Κέντρα κόστους</w:t>
            </w:r>
            <w:r w:rsidR="00A109F1">
              <w:rPr>
                <w:noProof/>
                <w:webHidden/>
              </w:rPr>
              <w:tab/>
            </w:r>
            <w:r w:rsidR="00A109F1">
              <w:rPr>
                <w:noProof/>
                <w:webHidden/>
              </w:rPr>
              <w:fldChar w:fldCharType="begin"/>
            </w:r>
            <w:r w:rsidR="00A109F1">
              <w:rPr>
                <w:noProof/>
                <w:webHidden/>
              </w:rPr>
              <w:instrText xml:space="preserve"> PAGEREF _Toc425765586 \h </w:instrText>
            </w:r>
            <w:r w:rsidR="00A109F1">
              <w:rPr>
                <w:noProof/>
                <w:webHidden/>
              </w:rPr>
            </w:r>
            <w:r w:rsidR="00A109F1">
              <w:rPr>
                <w:noProof/>
                <w:webHidden/>
              </w:rPr>
              <w:fldChar w:fldCharType="separate"/>
            </w:r>
            <w:r w:rsidR="00A109F1">
              <w:rPr>
                <w:noProof/>
                <w:webHidden/>
              </w:rPr>
              <w:t>5</w:t>
            </w:r>
            <w:r w:rsidR="00A109F1">
              <w:rPr>
                <w:noProof/>
                <w:webHidden/>
              </w:rPr>
              <w:fldChar w:fldCharType="end"/>
            </w:r>
          </w:hyperlink>
        </w:p>
        <w:p w:rsidR="00A109F1" w:rsidRDefault="009333ED">
          <w:pPr>
            <w:pStyle w:val="20"/>
            <w:tabs>
              <w:tab w:val="left" w:pos="880"/>
              <w:tab w:val="right" w:leader="dot" w:pos="8296"/>
            </w:tabs>
            <w:rPr>
              <w:rFonts w:asciiTheme="minorHAnsi" w:hAnsiTheme="minorHAnsi"/>
              <w:noProof/>
              <w:lang w:val="el-GR" w:eastAsia="el-GR" w:bidi="ar-SA"/>
            </w:rPr>
          </w:pPr>
          <w:hyperlink w:anchor="_Toc425765587" w:history="1">
            <w:r w:rsidR="00A109F1" w:rsidRPr="0000162F">
              <w:rPr>
                <w:rStyle w:val="-"/>
                <w:noProof/>
                <w:lang w:val="el-GR"/>
              </w:rPr>
              <w:t>1.4</w:t>
            </w:r>
            <w:r w:rsidR="00A109F1">
              <w:rPr>
                <w:rFonts w:asciiTheme="minorHAnsi" w:hAnsiTheme="minorHAnsi"/>
                <w:noProof/>
                <w:lang w:val="el-GR" w:eastAsia="el-GR" w:bidi="ar-SA"/>
              </w:rPr>
              <w:tab/>
            </w:r>
            <w:r w:rsidR="00A109F1" w:rsidRPr="0000162F">
              <w:rPr>
                <w:rStyle w:val="-"/>
                <w:noProof/>
                <w:lang w:val="el-GR"/>
              </w:rPr>
              <w:t>Κέντρα κόστους σε μια επιχείρηση γραφικών τεχνών</w:t>
            </w:r>
            <w:r w:rsidR="00A109F1">
              <w:rPr>
                <w:noProof/>
                <w:webHidden/>
              </w:rPr>
              <w:tab/>
            </w:r>
            <w:r w:rsidR="00A109F1">
              <w:rPr>
                <w:noProof/>
                <w:webHidden/>
              </w:rPr>
              <w:fldChar w:fldCharType="begin"/>
            </w:r>
            <w:r w:rsidR="00A109F1">
              <w:rPr>
                <w:noProof/>
                <w:webHidden/>
              </w:rPr>
              <w:instrText xml:space="preserve"> PAGEREF _Toc425765587 \h </w:instrText>
            </w:r>
            <w:r w:rsidR="00A109F1">
              <w:rPr>
                <w:noProof/>
                <w:webHidden/>
              </w:rPr>
            </w:r>
            <w:r w:rsidR="00A109F1">
              <w:rPr>
                <w:noProof/>
                <w:webHidden/>
              </w:rPr>
              <w:fldChar w:fldCharType="separate"/>
            </w:r>
            <w:r w:rsidR="00A109F1">
              <w:rPr>
                <w:noProof/>
                <w:webHidden/>
              </w:rPr>
              <w:t>6</w:t>
            </w:r>
            <w:r w:rsidR="00A109F1">
              <w:rPr>
                <w:noProof/>
                <w:webHidden/>
              </w:rPr>
              <w:fldChar w:fldCharType="end"/>
            </w:r>
          </w:hyperlink>
        </w:p>
        <w:p w:rsidR="00A109F1" w:rsidRDefault="009333ED">
          <w:pPr>
            <w:pStyle w:val="20"/>
            <w:tabs>
              <w:tab w:val="left" w:pos="880"/>
              <w:tab w:val="right" w:leader="dot" w:pos="8296"/>
            </w:tabs>
            <w:rPr>
              <w:rFonts w:asciiTheme="minorHAnsi" w:hAnsiTheme="minorHAnsi"/>
              <w:noProof/>
              <w:lang w:val="el-GR" w:eastAsia="el-GR" w:bidi="ar-SA"/>
            </w:rPr>
          </w:pPr>
          <w:hyperlink w:anchor="_Toc425765588" w:history="1">
            <w:r w:rsidR="00A109F1" w:rsidRPr="0000162F">
              <w:rPr>
                <w:rStyle w:val="-"/>
                <w:noProof/>
              </w:rPr>
              <w:t>1.5</w:t>
            </w:r>
            <w:r w:rsidR="00A109F1">
              <w:rPr>
                <w:rFonts w:asciiTheme="minorHAnsi" w:hAnsiTheme="minorHAnsi"/>
                <w:noProof/>
                <w:lang w:val="el-GR" w:eastAsia="el-GR" w:bidi="ar-SA"/>
              </w:rPr>
              <w:tab/>
            </w:r>
            <w:r w:rsidR="00A109F1" w:rsidRPr="0000162F">
              <w:rPr>
                <w:rStyle w:val="-"/>
                <w:noProof/>
              </w:rPr>
              <w:t>Περιγραφή μεθόδων κοστολόγησης</w:t>
            </w:r>
            <w:r w:rsidR="00A109F1">
              <w:rPr>
                <w:noProof/>
                <w:webHidden/>
              </w:rPr>
              <w:tab/>
            </w:r>
            <w:r w:rsidR="00A109F1">
              <w:rPr>
                <w:noProof/>
                <w:webHidden/>
              </w:rPr>
              <w:fldChar w:fldCharType="begin"/>
            </w:r>
            <w:r w:rsidR="00A109F1">
              <w:rPr>
                <w:noProof/>
                <w:webHidden/>
              </w:rPr>
              <w:instrText xml:space="preserve"> PAGEREF _Toc425765588 \h </w:instrText>
            </w:r>
            <w:r w:rsidR="00A109F1">
              <w:rPr>
                <w:noProof/>
                <w:webHidden/>
              </w:rPr>
            </w:r>
            <w:r w:rsidR="00A109F1">
              <w:rPr>
                <w:noProof/>
                <w:webHidden/>
              </w:rPr>
              <w:fldChar w:fldCharType="separate"/>
            </w:r>
            <w:r w:rsidR="00A109F1">
              <w:rPr>
                <w:noProof/>
                <w:webHidden/>
              </w:rPr>
              <w:t>6</w:t>
            </w:r>
            <w:r w:rsidR="00A109F1">
              <w:rPr>
                <w:noProof/>
                <w:webHidden/>
              </w:rPr>
              <w:fldChar w:fldCharType="end"/>
            </w:r>
          </w:hyperlink>
        </w:p>
        <w:p w:rsidR="004B47F4" w:rsidRDefault="004B47F4">
          <w:r>
            <w:rPr>
              <w:b/>
              <w:bCs/>
            </w:rPr>
            <w:fldChar w:fldCharType="end"/>
          </w:r>
        </w:p>
      </w:sdtContent>
    </w:sdt>
    <w:p w:rsidR="004B47F4" w:rsidRDefault="004B47F4" w:rsidP="004B47F4">
      <w:pPr>
        <w:pStyle w:val="1"/>
        <w:numPr>
          <w:ilvl w:val="0"/>
          <w:numId w:val="0"/>
        </w:numPr>
        <w:ind w:left="360"/>
        <w:rPr>
          <w:lang w:val="el-GR"/>
        </w:rPr>
      </w:pPr>
    </w:p>
    <w:p w:rsidR="003C5415" w:rsidRPr="004B47F4" w:rsidRDefault="003C5415" w:rsidP="004B47F4">
      <w:pPr>
        <w:pStyle w:val="1"/>
        <w:rPr>
          <w:lang w:val="el-GR"/>
        </w:rPr>
      </w:pPr>
      <w:bookmarkStart w:id="0" w:name="_Toc425765583"/>
      <w:r w:rsidRPr="004B47F4">
        <w:rPr>
          <w:lang w:val="el-GR"/>
        </w:rPr>
        <w:t>Γενικά Βιομηχανικά Έξοδα και Κέντρα Κόστους</w:t>
      </w:r>
      <w:bookmarkEnd w:id="0"/>
    </w:p>
    <w:p w:rsidR="003C5415" w:rsidRPr="004B47F4" w:rsidRDefault="003C5415" w:rsidP="003C5415">
      <w:pPr>
        <w:pStyle w:val="af0"/>
        <w:spacing w:line="276" w:lineRule="auto"/>
        <w:jc w:val="both"/>
        <w:rPr>
          <w:rFonts w:asciiTheme="minorHAnsi" w:hAnsiTheme="minorHAnsi" w:cs="Arial"/>
          <w:b/>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Σ’ αυτό το κεφάλαιο εξετάζεται ο τρόπος υπολογισμού του κόστους παραγωγής ενός προϊόντος, τα Γενικά Βιομηχανικά Έξοδα και το πως εξυπηρετεί την κοστολόγηση η συγκέντρωση τους στα κέντρα κόστους της επιχείρησης.</w:t>
      </w:r>
    </w:p>
    <w:p w:rsidR="003C5415" w:rsidRPr="004B47F4" w:rsidRDefault="003C5415" w:rsidP="003C5415">
      <w:pPr>
        <w:pStyle w:val="af0"/>
        <w:spacing w:line="276" w:lineRule="auto"/>
        <w:jc w:val="both"/>
        <w:rPr>
          <w:rFonts w:asciiTheme="minorHAnsi" w:hAnsiTheme="minorHAnsi" w:cs="Arial"/>
          <w:b/>
          <w:lang w:val="el-GR"/>
        </w:rPr>
      </w:pPr>
    </w:p>
    <w:p w:rsidR="003C5415" w:rsidRPr="004B47F4" w:rsidRDefault="003C5415" w:rsidP="003C5415">
      <w:pPr>
        <w:pStyle w:val="af0"/>
        <w:spacing w:line="276" w:lineRule="auto"/>
        <w:jc w:val="both"/>
        <w:rPr>
          <w:rFonts w:asciiTheme="minorHAnsi" w:hAnsiTheme="minorHAnsi" w:cs="Arial"/>
          <w:b/>
          <w:lang w:val="el-GR"/>
        </w:rPr>
      </w:pPr>
      <w:r w:rsidRPr="004B47F4">
        <w:rPr>
          <w:rFonts w:asciiTheme="minorHAnsi" w:hAnsiTheme="minorHAnsi" w:cs="Arial"/>
          <w:b/>
          <w:lang w:val="el-GR"/>
        </w:rPr>
        <w:t>Γενικά Βιομηχανικά Έξοδα</w:t>
      </w:r>
      <w:r w:rsidRPr="004B47F4">
        <w:rPr>
          <w:rFonts w:asciiTheme="minorHAnsi" w:hAnsiTheme="minorHAnsi" w:cs="Arial"/>
          <w:lang w:val="el-GR"/>
        </w:rPr>
        <w:t xml:space="preserve"> ονομάζονται όλα εκείνα τα έξοδα που δεν είναι άμεσα υλικά και άμεσα εργατικά. Είναι έμμεσα και ομαδοποιημένα για διευκόλυνση της κοστολόγησης.</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Έμμεσα λέγονται διότι επιβαρύνουν τα διάφορα </w:t>
      </w:r>
      <w:r w:rsidRPr="004B47F4">
        <w:rPr>
          <w:rFonts w:asciiTheme="minorHAnsi" w:hAnsiTheme="minorHAnsi" w:cs="Arial"/>
          <w:b/>
          <w:lang w:val="el-GR"/>
        </w:rPr>
        <w:t>κέντρα κόστους</w:t>
      </w:r>
      <w:r w:rsidRPr="004B47F4">
        <w:rPr>
          <w:rFonts w:asciiTheme="minorHAnsi" w:hAnsiTheme="minorHAnsi" w:cs="Arial"/>
          <w:lang w:val="el-GR"/>
        </w:rPr>
        <w:t xml:space="preserve"> με έμμεσο τρόπο, δηλαδή με κάποιο συντελεστή καταλογισμού. Η έννοια του καταλογισμού σημαίνει κοστολογική επιβάρυνση.</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D220C1" w:rsidP="003C5415">
      <w:pPr>
        <w:ind w:firstLine="284"/>
        <w:jc w:val="both"/>
        <w:rPr>
          <w:rFonts w:asciiTheme="minorHAnsi" w:hAnsiTheme="minorHAnsi" w:cs="Arial"/>
          <w:sz w:val="24"/>
          <w:szCs w:val="24"/>
          <w:lang w:val="el-GR"/>
        </w:rPr>
      </w:pPr>
      <w:r w:rsidRPr="004B47F4">
        <w:rPr>
          <w:rFonts w:asciiTheme="minorHAnsi" w:hAnsiTheme="minorHAnsi" w:cs="Arial"/>
          <w:sz w:val="24"/>
          <w:szCs w:val="24"/>
          <w:lang w:val="el-GR"/>
        </w:rPr>
        <w:t>Η</w:t>
      </w:r>
      <w:r w:rsidR="003C5415" w:rsidRPr="004B47F4">
        <w:rPr>
          <w:rFonts w:asciiTheme="minorHAnsi" w:hAnsiTheme="minorHAnsi" w:cs="Arial"/>
          <w:sz w:val="24"/>
          <w:szCs w:val="24"/>
          <w:lang w:val="el-GR"/>
        </w:rPr>
        <w:t xml:space="preserve"> μικρότερη μονάδα δραστηριότητας ή περιοχή ευθύνης, για την οποία πραγματοποιείται λογιστική συγκέντρωση του κόστους της με σκοπό τη μέτρηση της αποτελεσματικότητας της. Στην ουσία θα πρέπει να δημιουργούνται αρκετά τέτοια κέντρα κόστους ούτος ώστε όλα τα έμμεσα κόστη να μπορούν, κατ’ αρχήν, να κατανέμονται σε ένα συγκεκριμένο κέντρο.</w:t>
      </w:r>
    </w:p>
    <w:p w:rsidR="003C5415" w:rsidRPr="004B47F4" w:rsidRDefault="003C5415" w:rsidP="003C5415">
      <w:pPr>
        <w:ind w:firstLine="284"/>
        <w:jc w:val="both"/>
        <w:rPr>
          <w:rFonts w:asciiTheme="minorHAnsi" w:hAnsiTheme="minorHAnsi" w:cs="Arial"/>
          <w:sz w:val="24"/>
          <w:szCs w:val="24"/>
          <w:lang w:val="el-GR"/>
        </w:rPr>
      </w:pPr>
    </w:p>
    <w:p w:rsidR="003C5415" w:rsidRPr="004B47F4" w:rsidRDefault="003C5415" w:rsidP="003C5415">
      <w:pPr>
        <w:ind w:firstLine="284"/>
        <w:jc w:val="both"/>
        <w:rPr>
          <w:rFonts w:asciiTheme="minorHAnsi" w:hAnsiTheme="minorHAnsi" w:cs="Arial"/>
          <w:sz w:val="24"/>
          <w:szCs w:val="24"/>
          <w:lang w:val="el-GR"/>
        </w:rPr>
      </w:pPr>
      <w:r w:rsidRPr="004B47F4">
        <w:rPr>
          <w:rFonts w:asciiTheme="minorHAnsi" w:hAnsiTheme="minorHAnsi" w:cs="Arial"/>
          <w:sz w:val="24"/>
          <w:szCs w:val="24"/>
          <w:lang w:val="el-GR"/>
        </w:rPr>
        <w:t>Προκειμένου να υπολογιστεί το συνολικό κόστος παραγωγής ενός προϊόντος αθροίζεται το κόστος των αναλωθεισών πρώτων υλών, το κόστος της άμεσης εργασίας και τα αναλογούντα γενικά βιομηχανικά έξοδα. Ωστόσο ενώ η συσχέτιση του κόστους των πρώτων υλών και της άμεσης εργασίας με τα προϊόντα είναι εύκολη λόγω της άμεσης σχέσης που έχουν αυτές οι κατηγορίες κόστους με το προϊόν και η οποία καταγράφεται εύκολα (αίτηση ανάλωσης υλικών, φύλλο ανάλυσης χρόνου εργαζομένων, κτλ) η συσχέτιση των ΓΒΕ με τα παραγόμενα προϊόντα και τις παραγγελίες, παρουσιάζει δυσκολίες.</w:t>
      </w: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lastRenderedPageBreak/>
        <w:t xml:space="preserve">Ο λόγος είναι ότι τα έξοδα αυτά αφορούν την παραγωγή όλων των προϊόντων κατά τη διάρκεια μιας περιόδου (έμμεσο κόστος) και δεν μπορεί να γίνει εξειδίκευση τους με κάθε ένα προϊόν. Επίσης παρουσιάζονται τυχαίες αυξομειώσεις στη διάρκεια του χρόνου. </w:t>
      </w: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Για παράδειγμα ο λογαριασμός της ενέργειας του τηλεφώνου και της ύδρευσης πληρώνεται κάθε δίμηνο, ενώ τα ασφάλιστρα πληρώνονται μια ή δύο φορές το χρόνο. Είναι προφανές ότι τα κόστη αυτά θα επιμερισθούν στο σύνολο του χρόνου λειτουργίας της επιχείρησης και σε όλες τις παραγγελίες και παραγόμενες παρτίδες προϊόντων. </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Για την αντιμετώπιση του προβλήματος αυτού οι επιχειρήσεις χρησιμοποιούν συντελεστές απορρόφησης των Γενικών Βιομηχανικών εξόδων, </w:t>
      </w:r>
      <w:r w:rsidR="005F1188" w:rsidRPr="004B47F4">
        <w:rPr>
          <w:rFonts w:asciiTheme="minorHAnsi" w:hAnsiTheme="minorHAnsi" w:cs="Arial"/>
          <w:lang w:val="el-GR"/>
        </w:rPr>
        <w:t>μέσω</w:t>
      </w:r>
      <w:r w:rsidRPr="004B47F4">
        <w:rPr>
          <w:rFonts w:asciiTheme="minorHAnsi" w:hAnsiTheme="minorHAnsi" w:cs="Arial"/>
          <w:lang w:val="el-GR"/>
        </w:rPr>
        <w:t xml:space="preserve"> της διαδικασίας </w:t>
      </w:r>
      <w:r w:rsidR="006D4B5B">
        <w:rPr>
          <w:rFonts w:asciiTheme="minorHAnsi" w:hAnsiTheme="minorHAnsi" w:cs="Arial"/>
          <w:lang w:val="el-GR"/>
        </w:rPr>
        <w:t>καταλογισμού</w:t>
      </w:r>
      <w:r w:rsidRPr="004B47F4">
        <w:rPr>
          <w:rFonts w:asciiTheme="minorHAnsi" w:hAnsiTheme="minorHAnsi" w:cs="Arial"/>
          <w:lang w:val="el-GR"/>
        </w:rPr>
        <w:t xml:space="preserve"> των ΓΒΕ.</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4B47F4">
      <w:pPr>
        <w:pStyle w:val="2"/>
        <w:rPr>
          <w:lang w:val="el-GR"/>
        </w:rPr>
      </w:pPr>
      <w:bookmarkStart w:id="1" w:name="_Toc425765584"/>
      <w:r w:rsidRPr="004B47F4">
        <w:rPr>
          <w:lang w:val="el-GR"/>
        </w:rPr>
        <w:t>Απορρόφηση ΓΒΕ</w:t>
      </w:r>
      <w:bookmarkEnd w:id="1"/>
      <w:r w:rsidRPr="004B47F4">
        <w:rPr>
          <w:lang w:val="el-GR"/>
        </w:rPr>
        <w:t xml:space="preserve"> </w:t>
      </w:r>
    </w:p>
    <w:p w:rsidR="003C5415" w:rsidRPr="004B47F4" w:rsidRDefault="003C5415" w:rsidP="003C5415">
      <w:pPr>
        <w:pStyle w:val="af0"/>
        <w:spacing w:line="276" w:lineRule="auto"/>
        <w:jc w:val="both"/>
        <w:rPr>
          <w:rFonts w:asciiTheme="minorHAnsi" w:hAnsiTheme="minorHAnsi" w:cs="Arial"/>
          <w:b/>
          <w:lang w:val="el-GR"/>
        </w:rPr>
      </w:pPr>
    </w:p>
    <w:p w:rsidR="003C5415" w:rsidRPr="004B47F4" w:rsidRDefault="003C5415" w:rsidP="003C5415">
      <w:pPr>
        <w:pStyle w:val="af0"/>
        <w:spacing w:line="276" w:lineRule="auto"/>
        <w:jc w:val="both"/>
        <w:rPr>
          <w:rFonts w:asciiTheme="minorHAnsi" w:hAnsiTheme="minorHAnsi" w:cs="Arial"/>
        </w:rPr>
      </w:pPr>
      <w:r w:rsidRPr="004B47F4">
        <w:rPr>
          <w:rFonts w:asciiTheme="minorHAnsi" w:hAnsiTheme="minorHAnsi" w:cs="Arial"/>
          <w:lang w:val="el-GR"/>
        </w:rPr>
        <w:t xml:space="preserve">Τα έμμεσα κόστη συγκαταλέγονται στα Γενικά Βιομηχανικά Έξοδα (ΓΒΕ). Καταλογισμός ΓΒΕ είναι η απορρόφηση ενός τμήματος γενικών βιομηχανικών εξόδων από κάθε μονάδα παραγόμενου προϊόντος και ο συνυπολογισμός τους στο κόστος παραγωγής </w:t>
      </w:r>
      <w:r w:rsidRPr="004B47F4">
        <w:rPr>
          <w:rFonts w:asciiTheme="minorHAnsi" w:hAnsiTheme="minorHAnsi" w:cs="Arial"/>
        </w:rPr>
        <w:t>Για να προσδιοριστεί το ποσοστό των ΓΒΕ που θα απορροφηθούν από κάθε μονάδα κόστους ορίζεται ένας συντελεστής ΓΒΕ, ο οποίος υπολογίζεται με τη χρήση δύο παραγόντων:</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rPr>
      </w:pPr>
      <w:r w:rsidRPr="004B47F4">
        <w:rPr>
          <w:rFonts w:asciiTheme="minorHAnsi" w:hAnsiTheme="minorHAnsi" w:cs="Arial"/>
        </w:rPr>
        <w:t>α. Τα συνολικά ΓΒΕ που αφορούν ένα δεδομένο κέντρο κόστους ως αριθμη</w:t>
      </w:r>
      <w:r w:rsidRPr="004B47F4">
        <w:rPr>
          <w:rFonts w:asciiTheme="minorHAnsi" w:hAnsiTheme="minorHAnsi" w:cs="Arial"/>
        </w:rPr>
        <w:softHyphen/>
        <w:t>τή κλάσματος και</w:t>
      </w: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rPr>
        <w:t>β. μια συγκεκριμένη βάση απορρόφησης (ώρες άμεσης εργασίας, ώρες λει</w:t>
      </w:r>
      <w:r w:rsidRPr="004B47F4">
        <w:rPr>
          <w:rFonts w:asciiTheme="minorHAnsi" w:hAnsiTheme="minorHAnsi" w:cs="Arial"/>
        </w:rPr>
        <w:softHyphen/>
        <w:t>τουργίας μηχανημάτων, κ.λπ.), ως παρανομαστή του κλάσματος:</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jc w:val="both"/>
        <w:rPr>
          <w:rFonts w:asciiTheme="minorHAnsi" w:hAnsiTheme="minorHAnsi" w:cs="Arial"/>
          <w:lang w:val="el-GR"/>
        </w:rPr>
      </w:pPr>
      <w:r w:rsidRPr="004B47F4">
        <w:rPr>
          <w:rFonts w:asciiTheme="minorHAnsi" w:hAnsiTheme="minorHAnsi" w:cs="Arial"/>
          <w:noProof/>
          <w:lang w:val="el-GR"/>
        </w:rPr>
        <mc:AlternateContent>
          <mc:Choice Requires="wps">
            <w:drawing>
              <wp:anchor distT="0" distB="0" distL="114300" distR="114300" simplePos="0" relativeHeight="251659264" behindDoc="0" locked="0" layoutInCell="1" allowOverlap="1" wp14:anchorId="2E99D29E" wp14:editId="5E31D535">
                <wp:simplePos x="0" y="0"/>
                <wp:positionH relativeFrom="column">
                  <wp:posOffset>11430</wp:posOffset>
                </wp:positionH>
                <wp:positionV relativeFrom="paragraph">
                  <wp:posOffset>67310</wp:posOffset>
                </wp:positionV>
                <wp:extent cx="5286375" cy="1114425"/>
                <wp:effectExtent l="0" t="3810" r="10795" b="12065"/>
                <wp:wrapNone/>
                <wp:docPr id="48"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1114425"/>
                        </a:xfrm>
                        <a:prstGeom prst="rect">
                          <a:avLst/>
                        </a:prstGeom>
                        <a:solidFill>
                          <a:srgbClr val="D8D8D8"/>
                        </a:solidFill>
                        <a:ln w="9525">
                          <a:solidFill>
                            <a:srgbClr val="000000"/>
                          </a:solidFill>
                          <a:miter lim="800000"/>
                          <a:headEnd/>
                          <a:tailEnd/>
                        </a:ln>
                      </wps:spPr>
                      <wps:txbx>
                        <w:txbxContent>
                          <w:p w:rsidR="003C5415" w:rsidRPr="00EC2D1B" w:rsidRDefault="003C5415" w:rsidP="003C5415">
                            <w:pPr>
                              <w:pStyle w:val="af0"/>
                              <w:jc w:val="center"/>
                              <w:rPr>
                                <w:rFonts w:ascii="Arial" w:hAnsi="Arial" w:cs="Arial"/>
                                <w:sz w:val="22"/>
                                <w:szCs w:val="22"/>
                                <w:lang w:val="el-GR"/>
                              </w:rPr>
                            </w:pPr>
                            <w:r w:rsidRPr="00033CA2">
                              <w:rPr>
                                <w:rFonts w:ascii="Arial" w:hAnsi="Arial" w:cs="Arial"/>
                                <w:sz w:val="22"/>
                                <w:szCs w:val="22"/>
                              </w:rPr>
                              <w:t>Συντελεστής απορρόφησης ΓΒΕ ενός κέντρου κόστους =</w:t>
                            </w:r>
                          </w:p>
                          <w:p w:rsidR="003C5415" w:rsidRPr="00EC2D1B" w:rsidRDefault="003C5415" w:rsidP="003C5415">
                            <w:pPr>
                              <w:pStyle w:val="af0"/>
                              <w:jc w:val="center"/>
                              <w:rPr>
                                <w:rFonts w:ascii="Arial" w:hAnsi="Arial" w:cs="Arial"/>
                                <w:sz w:val="22"/>
                                <w:szCs w:val="22"/>
                                <w:lang w:val="el-GR"/>
                              </w:rPr>
                            </w:pPr>
                          </w:p>
                          <w:p w:rsidR="003C5415" w:rsidRPr="00EE6B90" w:rsidRDefault="003C5415" w:rsidP="003C5415">
                            <w:pPr>
                              <w:pStyle w:val="af0"/>
                              <w:jc w:val="center"/>
                              <w:rPr>
                                <w:rFonts w:ascii="Arial" w:hAnsi="Arial" w:cs="Arial"/>
                                <w:sz w:val="22"/>
                                <w:szCs w:val="22"/>
                                <w:lang w:val="el-GR"/>
                              </w:rPr>
                            </w:pPr>
                            <w:r w:rsidRPr="00EE6B90">
                              <w:rPr>
                                <w:rFonts w:ascii="Arial" w:hAnsi="Arial" w:cs="Arial"/>
                                <w:sz w:val="22"/>
                                <w:szCs w:val="22"/>
                              </w:rPr>
                              <w:t>Συνολικά ΓΒΕ του κέντρου κόστους</w:t>
                            </w:r>
                          </w:p>
                          <w:p w:rsidR="003C5415" w:rsidRPr="00EE6B90" w:rsidRDefault="003C5415" w:rsidP="003C5415">
                            <w:pPr>
                              <w:pStyle w:val="af0"/>
                              <w:rPr>
                                <w:rFonts w:ascii="Arial" w:hAnsi="Arial" w:cs="Arial"/>
                                <w:sz w:val="22"/>
                                <w:szCs w:val="22"/>
                                <w:lang w:val="el-GR"/>
                              </w:rPr>
                            </w:pPr>
                            <w:r w:rsidRPr="00EE6B90">
                              <w:rPr>
                                <w:rFonts w:ascii="Arial" w:hAnsi="Arial" w:cs="Arial"/>
                                <w:sz w:val="22"/>
                                <w:szCs w:val="22"/>
                                <w:lang w:val="el-GR"/>
                              </w:rPr>
                              <w:t>=</w:t>
                            </w:r>
                          </w:p>
                          <w:p w:rsidR="003C5415" w:rsidRPr="00033CA2" w:rsidRDefault="003C5415" w:rsidP="003C5415">
                            <w:pPr>
                              <w:pStyle w:val="af0"/>
                              <w:jc w:val="center"/>
                              <w:rPr>
                                <w:rFonts w:ascii="Arial" w:hAnsi="Arial" w:cs="Arial"/>
                                <w:sz w:val="22"/>
                                <w:szCs w:val="22"/>
                              </w:rPr>
                            </w:pPr>
                            <w:r w:rsidRPr="00033CA2">
                              <w:rPr>
                                <w:rFonts w:ascii="Arial" w:hAnsi="Arial" w:cs="Arial"/>
                                <w:sz w:val="22"/>
                                <w:szCs w:val="22"/>
                              </w:rPr>
                              <w:t>Συνολική ποσότητα της βάσης απορρόφησης που χρησιμοποιήθηκε στο κέντρο κόστους</w:t>
                            </w:r>
                          </w:p>
                          <w:p w:rsidR="003C5415" w:rsidRPr="003C5415" w:rsidRDefault="003C5415" w:rsidP="003C5415">
                            <w:pPr>
                              <w:rPr>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27" style="position:absolute;left:0;text-align:left;margin-left:.9pt;margin-top:5.3pt;width:416.2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saJwIAAFIEAAAOAAAAZHJzL2Uyb0RvYy54bWysVNuO0zAQfUfiHyy/0zSl3e1GTVerlkVI&#10;C6xY+ADHcRIL3xi7TcrX79hpS7mIB0QiWZ7M+PjMmZmsbgetyF6Al9aUNJ9MKRGG21qatqRfPt+/&#10;WlLiAzM1U9aIkh6Ep7frly9WvSvEzHZW1QIIghhf9K6kXQiuyDLPO6GZn1gnDDobC5oFNKHNamA9&#10;omuVzabTq6y3UDuwXHiPX7ejk64TftMIHj42jReBqJIit5BWSGsV12y9YkULzHWSH2mwf2ChmTR4&#10;6RlqywIjO5C/QWnJwXrbhAm3OrNNI7lIOWA2+fSXbJ465kTKBcXx7iyT/3+w/MP+EYisSzrHShmm&#10;sUafUDVmWiUIcooK9c4XGPjkHiHm6N2D5V89MXbTYZy4A7B9J1iNvFJ89tOBaHg8Sqr+va0Rn+2C&#10;TWINDegIiDKQIdXkcK6JGALh+HExW169vl5QwtGX5/l8PltEThkrTscd+PBWWE3ipqSA9BM82z/4&#10;MIaeQhJ9q2R9L5VKBrTVRgHZM2yQ7TK+R3R/GaYM6Ut6s8C7/w4xTc+fILQM2OlK6pIuz0GsiLq9&#10;MXXqw8CkGveYnTKY5Em7sQZhqIZUq3NVKlsfUFmwY2PjIOKms/Cdkh6buqT+246BoES9M1idG5Qv&#10;TkEy5ovrGRpw6akuPcxwhCppoGTcbsI4OTsHsu3wpjypYewdVrSRSevIeGR1pI+Nm6p1HLI4GZd2&#10;ivrxK1g/AwAA//8DAFBLAwQUAAYACAAAACEAO2Cjtt8AAAAIAQAADwAAAGRycy9kb3ducmV2Lnht&#10;bEyPzU7DQAyE70i8w8pI3OimpIqikE1VISEOcCgF2h7drEkC+xNlt2ng6XFPcLLGY42/KZeTNWKk&#10;IXTeKZjPEhDkaq871yh4e324yUGEiE6j8Y4UfFOAZXV5UWKh/cm90LiJjeAQFwpU0MbYF1KGuiWL&#10;YeZ7cux9+MFiZDk0Ug944nBr5G2SZNJi5/hDiz3dt1R/bY5WwbPGp635Wb2Hx35cp7v1YvuZ75W6&#10;vppWdyAiTfHvGM74jA4VMx380ekgDGsGjzySDATbebpIQRzO+2wOsirl/wLVLwAAAP//AwBQSwEC&#10;LQAUAAYACAAAACEAtoM4kv4AAADhAQAAEwAAAAAAAAAAAAAAAAAAAAAAW0NvbnRlbnRfVHlwZXNd&#10;LnhtbFBLAQItABQABgAIAAAAIQA4/SH/1gAAAJQBAAALAAAAAAAAAAAAAAAAAC8BAABfcmVscy8u&#10;cmVsc1BLAQItABQABgAIAAAAIQApOGsaJwIAAFIEAAAOAAAAAAAAAAAAAAAAAC4CAABkcnMvZTJv&#10;RG9jLnhtbFBLAQItABQABgAIAAAAIQA7YKO23wAAAAgBAAAPAAAAAAAAAAAAAAAAAIEEAABkcnMv&#10;ZG93bnJldi54bWxQSwUGAAAAAAQABADzAAAAjQUAAAAA&#10;" fillcolor="#d8d8d8">
                <v:textbox>
                  <w:txbxContent>
                    <w:p w:rsidR="003C5415" w:rsidRPr="00EC2D1B" w:rsidRDefault="003C5415" w:rsidP="003C5415">
                      <w:pPr>
                        <w:pStyle w:val="af0"/>
                        <w:jc w:val="center"/>
                        <w:rPr>
                          <w:rFonts w:ascii="Arial" w:hAnsi="Arial" w:cs="Arial"/>
                          <w:sz w:val="22"/>
                          <w:szCs w:val="22"/>
                          <w:lang w:val="el-GR"/>
                        </w:rPr>
                      </w:pPr>
                      <w:r w:rsidRPr="00033CA2">
                        <w:rPr>
                          <w:rFonts w:ascii="Arial" w:hAnsi="Arial" w:cs="Arial"/>
                          <w:sz w:val="22"/>
                          <w:szCs w:val="22"/>
                        </w:rPr>
                        <w:t>Συντελεστής απορρόφησης ΓΒΕ ενός κέντρου κόστους =</w:t>
                      </w:r>
                    </w:p>
                    <w:p w:rsidR="003C5415" w:rsidRPr="00EC2D1B" w:rsidRDefault="003C5415" w:rsidP="003C5415">
                      <w:pPr>
                        <w:pStyle w:val="af0"/>
                        <w:jc w:val="center"/>
                        <w:rPr>
                          <w:rFonts w:ascii="Arial" w:hAnsi="Arial" w:cs="Arial"/>
                          <w:sz w:val="22"/>
                          <w:szCs w:val="22"/>
                          <w:lang w:val="el-GR"/>
                        </w:rPr>
                      </w:pPr>
                    </w:p>
                    <w:p w:rsidR="003C5415" w:rsidRPr="00EE6B90" w:rsidRDefault="003C5415" w:rsidP="003C5415">
                      <w:pPr>
                        <w:pStyle w:val="af0"/>
                        <w:jc w:val="center"/>
                        <w:rPr>
                          <w:rFonts w:ascii="Arial" w:hAnsi="Arial" w:cs="Arial"/>
                          <w:sz w:val="22"/>
                          <w:szCs w:val="22"/>
                          <w:lang w:val="el-GR"/>
                        </w:rPr>
                      </w:pPr>
                      <w:r w:rsidRPr="00EE6B90">
                        <w:rPr>
                          <w:rFonts w:ascii="Arial" w:hAnsi="Arial" w:cs="Arial"/>
                          <w:sz w:val="22"/>
                          <w:szCs w:val="22"/>
                        </w:rPr>
                        <w:t>Συνολικά ΓΒΕ του κέντρου κόστους</w:t>
                      </w:r>
                    </w:p>
                    <w:p w:rsidR="003C5415" w:rsidRPr="00EE6B90" w:rsidRDefault="003C5415" w:rsidP="003C5415">
                      <w:pPr>
                        <w:pStyle w:val="af0"/>
                        <w:rPr>
                          <w:rFonts w:ascii="Arial" w:hAnsi="Arial" w:cs="Arial"/>
                          <w:sz w:val="22"/>
                          <w:szCs w:val="22"/>
                          <w:lang w:val="el-GR"/>
                        </w:rPr>
                      </w:pPr>
                      <w:r w:rsidRPr="00EE6B90">
                        <w:rPr>
                          <w:rFonts w:ascii="Arial" w:hAnsi="Arial" w:cs="Arial"/>
                          <w:sz w:val="22"/>
                          <w:szCs w:val="22"/>
                          <w:lang w:val="el-GR"/>
                        </w:rPr>
                        <w:t>=</w:t>
                      </w:r>
                    </w:p>
                    <w:p w:rsidR="003C5415" w:rsidRPr="00033CA2" w:rsidRDefault="003C5415" w:rsidP="003C5415">
                      <w:pPr>
                        <w:pStyle w:val="af0"/>
                        <w:jc w:val="center"/>
                        <w:rPr>
                          <w:rFonts w:ascii="Arial" w:hAnsi="Arial" w:cs="Arial"/>
                          <w:sz w:val="22"/>
                          <w:szCs w:val="22"/>
                        </w:rPr>
                      </w:pPr>
                      <w:r w:rsidRPr="00033CA2">
                        <w:rPr>
                          <w:rFonts w:ascii="Arial" w:hAnsi="Arial" w:cs="Arial"/>
                          <w:sz w:val="22"/>
                          <w:szCs w:val="22"/>
                        </w:rPr>
                        <w:t>Συνολική ποσότητα της βάσης απορρόφησης που χρησιμοποιήθηκε στο κέντρο κόστους</w:t>
                      </w:r>
                    </w:p>
                    <w:p w:rsidR="003C5415" w:rsidRPr="003C5415" w:rsidRDefault="003C5415" w:rsidP="003C5415">
                      <w:pPr>
                        <w:rPr>
                          <w:lang w:val="el-GR"/>
                        </w:rPr>
                      </w:pPr>
                    </w:p>
                  </w:txbxContent>
                </v:textbox>
              </v:rect>
            </w:pict>
          </mc:Fallback>
        </mc:AlternateContent>
      </w:r>
    </w:p>
    <w:p w:rsidR="003C5415" w:rsidRPr="004B47F4" w:rsidRDefault="003C5415" w:rsidP="003C5415">
      <w:pPr>
        <w:pStyle w:val="af0"/>
        <w:jc w:val="both"/>
        <w:rPr>
          <w:rFonts w:asciiTheme="minorHAnsi" w:hAnsiTheme="minorHAnsi" w:cs="Arial"/>
          <w:lang w:val="el-GR"/>
        </w:rPr>
      </w:pPr>
    </w:p>
    <w:p w:rsidR="003C5415" w:rsidRPr="004B47F4" w:rsidRDefault="003C5415" w:rsidP="003C5415">
      <w:pPr>
        <w:pStyle w:val="af0"/>
        <w:jc w:val="both"/>
        <w:rPr>
          <w:rFonts w:asciiTheme="minorHAnsi" w:hAnsiTheme="minorHAnsi" w:cs="Arial"/>
          <w:lang w:val="el-GR"/>
        </w:rPr>
      </w:pPr>
    </w:p>
    <w:p w:rsidR="003C5415" w:rsidRPr="004B47F4" w:rsidRDefault="003C5415" w:rsidP="003C5415">
      <w:pPr>
        <w:pStyle w:val="af0"/>
        <w:jc w:val="both"/>
        <w:rPr>
          <w:rFonts w:asciiTheme="minorHAnsi" w:hAnsiTheme="minorHAnsi" w:cs="Arial"/>
          <w:lang w:val="el-GR"/>
        </w:rPr>
      </w:pPr>
    </w:p>
    <w:p w:rsidR="003C5415" w:rsidRPr="004B47F4" w:rsidRDefault="003C5415" w:rsidP="003C5415">
      <w:pPr>
        <w:pStyle w:val="af0"/>
        <w:jc w:val="both"/>
        <w:rPr>
          <w:rFonts w:asciiTheme="minorHAnsi" w:hAnsiTheme="minorHAnsi" w:cs="Arial"/>
          <w:lang w:val="el-GR"/>
        </w:rPr>
      </w:pPr>
      <w:r w:rsidRPr="004B47F4">
        <w:rPr>
          <w:rFonts w:asciiTheme="minorHAnsi" w:hAnsiTheme="minorHAnsi" w:cs="Arial"/>
          <w:noProof/>
          <w:lang w:val="el-GR"/>
        </w:rPr>
        <mc:AlternateContent>
          <mc:Choice Requires="wps">
            <w:drawing>
              <wp:anchor distT="0" distB="0" distL="114300" distR="114300" simplePos="0" relativeHeight="251660288" behindDoc="0" locked="0" layoutInCell="1" allowOverlap="1" wp14:anchorId="38CD3BFA" wp14:editId="3482CAF9">
                <wp:simplePos x="0" y="0"/>
                <wp:positionH relativeFrom="column">
                  <wp:posOffset>220980</wp:posOffset>
                </wp:positionH>
                <wp:positionV relativeFrom="paragraph">
                  <wp:posOffset>44450</wp:posOffset>
                </wp:positionV>
                <wp:extent cx="4886325" cy="0"/>
                <wp:effectExtent l="17780" t="19050" r="23495" b="19050"/>
                <wp:wrapNone/>
                <wp:docPr id="47"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2" o:spid="_x0000_s1026" type="#_x0000_t32" style="position:absolute;margin-left:17.4pt;margin-top:3.5pt;width:38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hyIAIAAD4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do+R&#10;JD3s6PHgVCiN0jj1Exq0zSGwlDvje6Qn+aKfFP1hkVRlS2TDQ/jrWUN24jOidyn+YjXU2Q9fFYMY&#10;AhXCuE616T0kDAKdwlbOt63wk0MUPmaLxfwunWFER19E8jFRG+u+cNUjbxTYOkNE07pSSQm7VyYJ&#10;ZcjxyTpPi+Rjgq8q1VZ0XZBAJ9FQ4OUM6niPVZ1g3hkuptmXnUFH4kUUfqHHD2FGHSQLYC0nbHO1&#10;HRHdxYbinfR40BjQuVoXlfxcxsvNYrPIJlk630yyuKomj9sym8y3yf2suqvKskp+eWpJlreCMS49&#10;u1GxSfZ3iri+nYvWbpq9jSF6jx7mBWTH/0A6bNYv8yKLvWLnnRk3DiINwdcH5V/B2zvYb5/9+jcA&#10;AAD//wMAUEsDBBQABgAIAAAAIQC5U7VE3AAAAAYBAAAPAAAAZHJzL2Rvd25yZXYueG1sTI/NTsMw&#10;EITvlXgHaytxqVq7P9AS4lQVEgeOtJW4uvGShMbrKHaa0Kdn4VKOoxnNfJNuB1eLC7ah8qRhPlMg&#10;kHJvKyo0HA+v0w2IEA1ZU3tCDd8YYJvdjVKTWN/TO172sRBcQiExGsoYm0TKkJfoTJj5Bom9T986&#10;E1m2hbSt6bnc1XKh1KN0piJeKE2DLyXm533nNGDoHuZq9+SK49u1n3wsrl99c9D6fjzsnkFEHOIt&#10;DL/4jA4ZM518RzaIWsNyxeRRw5ofsb1RqyWI05+WWSr/42c/AAAA//8DAFBLAQItABQABgAIAAAA&#10;IQC2gziS/gAAAOEBAAATAAAAAAAAAAAAAAAAAAAAAABbQ29udGVudF9UeXBlc10ueG1sUEsBAi0A&#10;FAAGAAgAAAAhADj9If/WAAAAlAEAAAsAAAAAAAAAAAAAAAAALwEAAF9yZWxzLy5yZWxzUEsBAi0A&#10;FAAGAAgAAAAhAPO2GHIgAgAAPgQAAA4AAAAAAAAAAAAAAAAALgIAAGRycy9lMm9Eb2MueG1sUEsB&#10;Ai0AFAAGAAgAAAAhALlTtUTcAAAABgEAAA8AAAAAAAAAAAAAAAAAegQAAGRycy9kb3ducmV2Lnht&#10;bFBLBQYAAAAABAAEAPMAAACDBQAAAAA=&#10;"/>
            </w:pict>
          </mc:Fallback>
        </mc:AlternateContent>
      </w:r>
      <w:r w:rsidRPr="004B47F4">
        <w:rPr>
          <w:rFonts w:asciiTheme="minorHAnsi" w:hAnsiTheme="minorHAnsi" w:cs="Arial"/>
          <w:lang w:val="el-GR"/>
        </w:rPr>
        <w:t xml:space="preserve">  ===</w:t>
      </w:r>
    </w:p>
    <w:p w:rsidR="003C5415" w:rsidRPr="004B47F4" w:rsidRDefault="003C5415" w:rsidP="003C5415">
      <w:pPr>
        <w:pStyle w:val="af0"/>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b/>
          <w:lang w:val="el-GR"/>
        </w:rPr>
      </w:pPr>
    </w:p>
    <w:p w:rsidR="003C5415" w:rsidRPr="004B47F4" w:rsidRDefault="003C5415" w:rsidP="003C5415">
      <w:pPr>
        <w:pStyle w:val="af0"/>
        <w:spacing w:line="276" w:lineRule="auto"/>
        <w:jc w:val="both"/>
        <w:rPr>
          <w:rFonts w:asciiTheme="minorHAnsi" w:hAnsiTheme="minorHAnsi" w:cs="Arial"/>
          <w:b/>
          <w:lang w:val="el-GR"/>
        </w:rPr>
      </w:pPr>
    </w:p>
    <w:p w:rsidR="003C5415" w:rsidRPr="004B47F4" w:rsidRDefault="003C5415" w:rsidP="003C5415">
      <w:pPr>
        <w:pStyle w:val="af0"/>
        <w:spacing w:line="276" w:lineRule="auto"/>
        <w:jc w:val="both"/>
        <w:rPr>
          <w:rFonts w:asciiTheme="minorHAnsi" w:hAnsiTheme="minorHAnsi" w:cs="Arial"/>
          <w:b/>
          <w:lang w:val="el-GR"/>
        </w:rPr>
      </w:pPr>
    </w:p>
    <w:p w:rsidR="004B47F4" w:rsidRDefault="004B47F4">
      <w:pPr>
        <w:rPr>
          <w:rFonts w:eastAsiaTheme="majorEastAsia" w:cstheme="majorBidi"/>
          <w:b/>
          <w:bCs/>
          <w:sz w:val="28"/>
          <w:szCs w:val="26"/>
          <w:lang w:val="el-GR"/>
        </w:rPr>
      </w:pPr>
      <w:r>
        <w:rPr>
          <w:lang w:val="el-GR"/>
        </w:rPr>
        <w:br w:type="page"/>
      </w:r>
    </w:p>
    <w:p w:rsidR="003C5415" w:rsidRPr="004B47F4" w:rsidRDefault="003C5415" w:rsidP="004B47F4">
      <w:pPr>
        <w:pStyle w:val="2"/>
        <w:rPr>
          <w:lang w:val="el-GR"/>
        </w:rPr>
      </w:pPr>
      <w:bookmarkStart w:id="2" w:name="_Toc425765585"/>
      <w:r w:rsidRPr="004B47F4">
        <w:rPr>
          <w:lang w:val="el-GR"/>
        </w:rPr>
        <w:lastRenderedPageBreak/>
        <w:t>Βάσεις απορρόφησης</w:t>
      </w:r>
      <w:bookmarkEnd w:id="2"/>
      <w:r w:rsidRPr="004B47F4">
        <w:rPr>
          <w:lang w:val="el-GR"/>
        </w:rPr>
        <w:t xml:space="preserve"> </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rPr>
      </w:pPr>
      <w:r w:rsidRPr="004B47F4">
        <w:rPr>
          <w:rFonts w:asciiTheme="minorHAnsi" w:hAnsiTheme="minorHAnsi" w:cs="Arial"/>
        </w:rPr>
        <w:t>Ο αντικειμενικός σκοπός της διαδικασίας απορρόφησης ΓΒΕ είναι να περιλη</w:t>
      </w:r>
      <w:r w:rsidRPr="004B47F4">
        <w:rPr>
          <w:rFonts w:asciiTheme="minorHAnsi" w:hAnsiTheme="minorHAnsi" w:cs="Arial"/>
        </w:rPr>
        <w:softHyphen/>
        <w:t>φθεί ένα κατάλληλο ποσοστό των συνολικών ΓΒΕ της επιχείρησης στο συνο</w:t>
      </w:r>
      <w:r w:rsidRPr="004B47F4">
        <w:rPr>
          <w:rFonts w:asciiTheme="minorHAnsi" w:hAnsiTheme="minorHAnsi" w:cs="Arial"/>
        </w:rPr>
        <w:softHyphen/>
        <w:t xml:space="preserve">λικό κόστος ενός προϊόντος ή μιας υπηρεσίας. </w:t>
      </w:r>
      <w:r w:rsidRPr="004B47F4">
        <w:rPr>
          <w:rFonts w:asciiTheme="minorHAnsi" w:hAnsiTheme="minorHAnsi" w:cs="Arial"/>
          <w:lang w:val="el-GR"/>
        </w:rPr>
        <w:t>Ο</w:t>
      </w:r>
      <w:r w:rsidRPr="004B47F4">
        <w:rPr>
          <w:rFonts w:asciiTheme="minorHAnsi" w:hAnsiTheme="minorHAnsi" w:cs="Arial"/>
        </w:rPr>
        <w:t xml:space="preserve"> συντελεστής απορρόφησης των ΓΒΕ ως έννοια ταυτίζεται με τον συντελεστή καταλογισμού</w:t>
      </w:r>
      <w:r w:rsidRPr="004B47F4">
        <w:rPr>
          <w:rFonts w:asciiTheme="minorHAnsi" w:hAnsiTheme="minorHAnsi" w:cs="Arial"/>
          <w:lang w:val="el-GR"/>
        </w:rPr>
        <w:t>.</w:t>
      </w:r>
    </w:p>
    <w:p w:rsidR="003C5415" w:rsidRPr="004B47F4" w:rsidRDefault="003C5415" w:rsidP="003C5415">
      <w:pPr>
        <w:pStyle w:val="af0"/>
        <w:spacing w:line="276" w:lineRule="auto"/>
        <w:jc w:val="both"/>
        <w:rPr>
          <w:rFonts w:asciiTheme="minorHAnsi" w:hAnsiTheme="minorHAnsi" w:cs="Arial"/>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rPr>
        <w:t xml:space="preserve">Έχουν αναπτυχθεί διάφορες βάσεις απορρόφησης. </w:t>
      </w:r>
      <w:r w:rsidRPr="004B47F4">
        <w:rPr>
          <w:rFonts w:asciiTheme="minorHAnsi" w:hAnsiTheme="minorHAnsi" w:cs="Arial"/>
          <w:lang w:val="el-GR"/>
        </w:rPr>
        <w:t xml:space="preserve">Τέτοιες βάσεις απορρόφησης είναι συνήθως: </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numPr>
          <w:ilvl w:val="0"/>
          <w:numId w:val="43"/>
        </w:numPr>
        <w:spacing w:line="276" w:lineRule="auto"/>
        <w:jc w:val="both"/>
        <w:rPr>
          <w:rFonts w:asciiTheme="minorHAnsi" w:hAnsiTheme="minorHAnsi" w:cs="Arial"/>
          <w:lang w:val="el-GR"/>
        </w:rPr>
      </w:pPr>
      <w:r w:rsidRPr="004B47F4">
        <w:rPr>
          <w:rFonts w:asciiTheme="minorHAnsi" w:hAnsiTheme="minorHAnsi" w:cs="Arial"/>
          <w:b/>
          <w:lang w:val="el-GR"/>
        </w:rPr>
        <w:t>Το άμεσος κόστος των υλικών:</w:t>
      </w:r>
      <w:r w:rsidRPr="004B47F4">
        <w:rPr>
          <w:rFonts w:asciiTheme="minorHAnsi" w:hAnsiTheme="minorHAnsi" w:cs="Arial"/>
          <w:lang w:val="el-GR"/>
        </w:rPr>
        <w:t xml:space="preserve"> Δηλαδή αν σε μια περίοδο αναλώθηκαν  8.804,11 υλικά και 17.608,22 ΓΒΕ, ο συντελεστής απορρόφησης προκύπτει από τον τύπο: </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Συντελεστής ΓΒΕ= </w:t>
      </w:r>
      <w:r w:rsidRPr="004B47F4">
        <w:rPr>
          <w:rFonts w:asciiTheme="minorHAnsi" w:hAnsiTheme="minorHAnsi" w:cs="Arial"/>
          <w:u w:val="single"/>
          <w:lang w:val="el-GR"/>
        </w:rPr>
        <w:t xml:space="preserve">17.608,22 </w:t>
      </w:r>
      <w:r w:rsidRPr="004B47F4">
        <w:rPr>
          <w:rFonts w:asciiTheme="minorHAnsi" w:hAnsiTheme="minorHAnsi" w:cs="Arial"/>
          <w:lang w:val="el-GR"/>
        </w:rPr>
        <w:t>= 2 ή 200 % των Α’ Υλών</w:t>
      </w: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                                 8.804,11</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Δηλαδή κάθε κέντρο κόστους θα επιβαρύνεται με αναλογία ΓΒΕ ίση με το 200% του κόστους των άμεσων υλικών</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numPr>
          <w:ilvl w:val="0"/>
          <w:numId w:val="43"/>
        </w:numPr>
        <w:spacing w:line="276" w:lineRule="auto"/>
        <w:jc w:val="both"/>
        <w:rPr>
          <w:rFonts w:asciiTheme="minorHAnsi" w:hAnsiTheme="minorHAnsi" w:cs="Arial"/>
          <w:lang w:val="el-GR"/>
        </w:rPr>
      </w:pPr>
      <w:r w:rsidRPr="004B47F4">
        <w:rPr>
          <w:rFonts w:asciiTheme="minorHAnsi" w:hAnsiTheme="minorHAnsi" w:cs="Arial"/>
          <w:b/>
          <w:lang w:val="el-GR"/>
        </w:rPr>
        <w:t>Το άμεσο εργατικό κόστος:</w:t>
      </w:r>
      <w:r w:rsidRPr="004B47F4">
        <w:rPr>
          <w:rFonts w:asciiTheme="minorHAnsi" w:hAnsiTheme="minorHAnsi" w:cs="Arial"/>
          <w:u w:val="single"/>
          <w:lang w:val="el-GR"/>
        </w:rPr>
        <w:t xml:space="preserve"> </w:t>
      </w:r>
      <w:r w:rsidRPr="004B47F4">
        <w:rPr>
          <w:rFonts w:asciiTheme="minorHAnsi" w:hAnsiTheme="minorHAnsi" w:cs="Arial"/>
          <w:lang w:val="el-GR"/>
        </w:rPr>
        <w:t>π.χ.  ΓΒΕ 17.608,22 και άμεσα εργατικά 4.695,52</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Συντελεστής ΓΒΕ= </w:t>
      </w:r>
      <w:r w:rsidRPr="004B47F4">
        <w:rPr>
          <w:rFonts w:asciiTheme="minorHAnsi" w:hAnsiTheme="minorHAnsi" w:cs="Arial"/>
          <w:u w:val="single"/>
          <w:lang w:val="el-GR"/>
        </w:rPr>
        <w:t xml:space="preserve">17.608,22 </w:t>
      </w:r>
      <w:r w:rsidRPr="004B47F4">
        <w:rPr>
          <w:rFonts w:asciiTheme="minorHAnsi" w:hAnsiTheme="minorHAnsi" w:cs="Arial"/>
          <w:lang w:val="el-GR"/>
        </w:rPr>
        <w:t>= 3,75 ή 375 % των ΑΕ</w:t>
      </w: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                                 4.695,52</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Δηλαδή κάθε κέντρο κόστους θα επιβαρυνθεί με ένα ποσόν ΓΒΕ ίσο με το 375% των άμεσων εργατικών αυτού του κέντρου.</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numPr>
          <w:ilvl w:val="0"/>
          <w:numId w:val="43"/>
        </w:numPr>
        <w:spacing w:line="276" w:lineRule="auto"/>
        <w:jc w:val="both"/>
        <w:rPr>
          <w:rFonts w:asciiTheme="minorHAnsi" w:hAnsiTheme="minorHAnsi" w:cs="Arial"/>
          <w:lang w:val="el-GR"/>
        </w:rPr>
      </w:pPr>
      <w:r w:rsidRPr="004B47F4">
        <w:rPr>
          <w:rFonts w:asciiTheme="minorHAnsi" w:hAnsiTheme="minorHAnsi" w:cs="Arial"/>
          <w:b/>
          <w:lang w:val="el-GR"/>
        </w:rPr>
        <w:t>Οι ώρες άμεσης εργασίας των εργαζομένων (ΩΑΕ):</w:t>
      </w:r>
      <w:r w:rsidRPr="004B47F4">
        <w:rPr>
          <w:rFonts w:asciiTheme="minorHAnsi" w:hAnsiTheme="minorHAnsi" w:cs="Arial"/>
          <w:lang w:val="el-GR"/>
        </w:rPr>
        <w:t xml:space="preserve"> π.χ. ΓΒΕ 17.608,22 και βάση απορρόφησης 800 ώρες άμεσης εργασίας</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Συντελεστής ΓΒΕ= </w:t>
      </w:r>
      <w:r w:rsidRPr="004B47F4">
        <w:rPr>
          <w:rFonts w:asciiTheme="minorHAnsi" w:hAnsiTheme="minorHAnsi" w:cs="Arial"/>
          <w:u w:val="single"/>
          <w:lang w:val="el-GR"/>
        </w:rPr>
        <w:t xml:space="preserve">17.608,22 </w:t>
      </w:r>
      <w:r w:rsidRPr="004B47F4">
        <w:rPr>
          <w:rFonts w:asciiTheme="minorHAnsi" w:hAnsiTheme="minorHAnsi" w:cs="Arial"/>
          <w:lang w:val="el-GR"/>
        </w:rPr>
        <w:t>= 22,01 € / ΩΑΕ</w:t>
      </w: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                                    800</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Δηλαδή κάθε κέντρο κόστους θα επιβαρυνθεί με ένα ποσό που προκύπτει από τον πολλαπλασιασμό των ωρών άμεσης εργασίας με τον συντελεστή.</w:t>
      </w:r>
    </w:p>
    <w:p w:rsidR="004B47F4" w:rsidRDefault="004B47F4">
      <w:pPr>
        <w:rPr>
          <w:rFonts w:asciiTheme="minorHAnsi" w:eastAsia="Arial Unicode MS" w:hAnsiTheme="minorHAnsi" w:cs="Arial"/>
          <w:color w:val="000000"/>
          <w:sz w:val="24"/>
          <w:szCs w:val="24"/>
          <w:lang w:val="el-GR" w:eastAsia="el-GR" w:bidi="ar-SA"/>
        </w:rPr>
      </w:pPr>
      <w:r>
        <w:rPr>
          <w:rFonts w:asciiTheme="minorHAnsi" w:hAnsiTheme="minorHAnsi" w:cs="Arial"/>
          <w:lang w:val="el-GR"/>
        </w:rPr>
        <w:br w:type="page"/>
      </w:r>
    </w:p>
    <w:p w:rsidR="003C5415" w:rsidRPr="004B47F4" w:rsidRDefault="003C5415" w:rsidP="003C5415">
      <w:pPr>
        <w:pStyle w:val="af0"/>
        <w:numPr>
          <w:ilvl w:val="0"/>
          <w:numId w:val="43"/>
        </w:numPr>
        <w:spacing w:line="276" w:lineRule="auto"/>
        <w:jc w:val="both"/>
        <w:rPr>
          <w:rFonts w:asciiTheme="minorHAnsi" w:hAnsiTheme="minorHAnsi" w:cs="Arial"/>
          <w:lang w:val="el-GR"/>
        </w:rPr>
      </w:pPr>
      <w:r w:rsidRPr="004B47F4">
        <w:rPr>
          <w:rFonts w:asciiTheme="minorHAnsi" w:hAnsiTheme="minorHAnsi" w:cs="Arial"/>
          <w:b/>
          <w:lang w:val="el-GR"/>
        </w:rPr>
        <w:lastRenderedPageBreak/>
        <w:t>Οι ώρες λειτουργίας των μηχανών (ΩΛΜ)</w:t>
      </w:r>
      <w:r w:rsidRPr="004B47F4">
        <w:rPr>
          <w:rFonts w:asciiTheme="minorHAnsi" w:hAnsiTheme="minorHAnsi" w:cs="Arial"/>
          <w:lang w:val="el-GR"/>
        </w:rPr>
        <w:t xml:space="preserve">  π.χ ΓΒΕ 17.608,22 και οι ΩΛΜ 1.200</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Συντελεστής ΓΒΕ= </w:t>
      </w:r>
      <w:r w:rsidRPr="004B47F4">
        <w:rPr>
          <w:rFonts w:asciiTheme="minorHAnsi" w:hAnsiTheme="minorHAnsi" w:cs="Arial"/>
          <w:u w:val="single"/>
          <w:lang w:val="el-GR"/>
        </w:rPr>
        <w:t xml:space="preserve">17.608,22 </w:t>
      </w:r>
      <w:r w:rsidRPr="004B47F4">
        <w:rPr>
          <w:rFonts w:asciiTheme="minorHAnsi" w:hAnsiTheme="minorHAnsi" w:cs="Arial"/>
          <w:lang w:val="el-GR"/>
        </w:rPr>
        <w:t>= 14,67 € / ΩΛΜ</w:t>
      </w: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                                    1.200</w:t>
      </w: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Δηλαδή για τα ΓΒΕ ενός κέντρου κόστους πολλαπλασιάζεται ο συντελεστής 14,67 με τον αριθμό των ωρών λειτουργίας των μηχανών.</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b/>
        </w:rPr>
      </w:pPr>
      <w:r w:rsidRPr="004B47F4">
        <w:rPr>
          <w:rFonts w:asciiTheme="minorHAnsi" w:hAnsiTheme="minorHAnsi" w:cs="Arial"/>
          <w:lang w:val="el-GR"/>
        </w:rPr>
        <w:t xml:space="preserve">Δεν υπάρχουν σαφείς κανόνες ως προς την επιλογή της βάσης υπολογισμού του συντελεστή απορρόφησης, ωστόσο, οι περισσότερο κοινές βάσεις απορρόφησης είναι οι τέσσερις παραπάνω που αναφέρθηκαν ανωτέρω. </w:t>
      </w:r>
    </w:p>
    <w:p w:rsidR="003C5415" w:rsidRPr="004B47F4" w:rsidRDefault="003C5415" w:rsidP="003C5415">
      <w:pPr>
        <w:pStyle w:val="yiv386544193msolistparagraphcxspmiddle"/>
        <w:spacing w:before="0" w:beforeAutospacing="0" w:after="0" w:afterAutospacing="0" w:line="276" w:lineRule="auto"/>
        <w:jc w:val="both"/>
        <w:rPr>
          <w:rFonts w:asciiTheme="minorHAnsi" w:hAnsiTheme="minorHAnsi" w:cs="Arial"/>
          <w:b/>
          <w:color w:val="000000"/>
        </w:rPr>
      </w:pPr>
    </w:p>
    <w:p w:rsidR="003C5415" w:rsidRPr="004B47F4" w:rsidRDefault="003C5415" w:rsidP="003C5415">
      <w:pPr>
        <w:pStyle w:val="yiv386544193msolistparagraphcxspmiddle"/>
        <w:spacing w:before="0" w:beforeAutospacing="0" w:after="0" w:afterAutospacing="0" w:line="276" w:lineRule="auto"/>
        <w:jc w:val="both"/>
        <w:rPr>
          <w:rFonts w:asciiTheme="minorHAnsi" w:hAnsiTheme="minorHAnsi" w:cs="Arial"/>
          <w:b/>
          <w:color w:val="000000"/>
        </w:rPr>
      </w:pPr>
    </w:p>
    <w:p w:rsidR="003C5415" w:rsidRPr="004B47F4" w:rsidRDefault="003C5415" w:rsidP="004B47F4">
      <w:pPr>
        <w:pStyle w:val="2"/>
      </w:pPr>
      <w:bookmarkStart w:id="3" w:name="_Toc425765586"/>
      <w:r w:rsidRPr="004B47F4">
        <w:t>Κέντρα κόστους</w:t>
      </w:r>
      <w:bookmarkEnd w:id="3"/>
      <w:r w:rsidRPr="004B47F4">
        <w:t xml:space="preserve"> </w:t>
      </w:r>
    </w:p>
    <w:p w:rsidR="003C5415" w:rsidRPr="004B47F4" w:rsidRDefault="003C5415" w:rsidP="003C5415">
      <w:pPr>
        <w:pStyle w:val="yiv386544193msolistparagraphcxspmiddle"/>
        <w:spacing w:before="0" w:beforeAutospacing="0" w:after="0" w:afterAutospacing="0" w:line="276" w:lineRule="auto"/>
        <w:ind w:left="1110"/>
        <w:jc w:val="both"/>
        <w:rPr>
          <w:rFonts w:asciiTheme="minorHAnsi" w:hAnsiTheme="minorHAnsi" w:cs="Arial"/>
          <w:color w:val="000000"/>
        </w:rPr>
      </w:pPr>
    </w:p>
    <w:p w:rsidR="003C5415" w:rsidRPr="004B47F4" w:rsidRDefault="003C5415" w:rsidP="003C5415">
      <w:pPr>
        <w:ind w:firstLine="284"/>
        <w:jc w:val="both"/>
        <w:rPr>
          <w:rFonts w:asciiTheme="minorHAnsi" w:hAnsiTheme="minorHAnsi" w:cs="Arial"/>
          <w:sz w:val="24"/>
          <w:szCs w:val="24"/>
          <w:lang w:val="el-GR"/>
        </w:rPr>
      </w:pPr>
      <w:r w:rsidRPr="004B47F4">
        <w:rPr>
          <w:rFonts w:asciiTheme="minorHAnsi" w:hAnsiTheme="minorHAnsi" w:cs="Arial"/>
          <w:sz w:val="24"/>
          <w:szCs w:val="24"/>
          <w:lang w:val="el-GR"/>
        </w:rPr>
        <w:t xml:space="preserve">Διακρίνονται σε </w:t>
      </w:r>
    </w:p>
    <w:p w:rsidR="003C5415" w:rsidRPr="004B47F4" w:rsidRDefault="003C5415" w:rsidP="003C5415">
      <w:pPr>
        <w:ind w:firstLine="284"/>
        <w:jc w:val="both"/>
        <w:rPr>
          <w:rFonts w:asciiTheme="minorHAnsi" w:hAnsiTheme="minorHAnsi" w:cs="Arial"/>
          <w:sz w:val="24"/>
          <w:szCs w:val="24"/>
          <w:lang w:val="el-GR"/>
        </w:rPr>
      </w:pPr>
      <w:r w:rsidRPr="004B47F4">
        <w:rPr>
          <w:rFonts w:asciiTheme="minorHAnsi" w:hAnsiTheme="minorHAnsi" w:cs="Arial"/>
          <w:sz w:val="24"/>
          <w:szCs w:val="24"/>
          <w:lang w:val="el-GR"/>
        </w:rPr>
        <w:t>α) βοηθητικά: αυτά  δεν αποτελούν βασικά κέντρα δραστηριότητας της επιχείρησης αλλά δημιουργούνται για να συγκεντρώνονται  σ’ αυτά κόστη τα οποία στη συνέχεια κατανέμονται στα κύρια κέντρα κόστους π.χ. κόστος ενέργειας, ενοικίων, συντηρήσεων, επισκευών.</w:t>
      </w:r>
    </w:p>
    <w:p w:rsidR="003C5415" w:rsidRPr="004B47F4" w:rsidRDefault="003C5415" w:rsidP="003C5415">
      <w:pPr>
        <w:ind w:firstLine="284"/>
        <w:jc w:val="both"/>
        <w:rPr>
          <w:rFonts w:asciiTheme="minorHAnsi" w:hAnsiTheme="minorHAnsi" w:cs="Arial"/>
          <w:sz w:val="24"/>
          <w:szCs w:val="24"/>
          <w:lang w:val="el-GR"/>
        </w:rPr>
      </w:pPr>
    </w:p>
    <w:p w:rsidR="003C5415" w:rsidRPr="004B47F4" w:rsidRDefault="003C5415" w:rsidP="003C5415">
      <w:pPr>
        <w:ind w:firstLine="284"/>
        <w:jc w:val="both"/>
        <w:rPr>
          <w:rFonts w:asciiTheme="minorHAnsi" w:hAnsiTheme="minorHAnsi" w:cs="Arial"/>
          <w:sz w:val="24"/>
          <w:szCs w:val="24"/>
          <w:lang w:val="el-GR"/>
        </w:rPr>
      </w:pPr>
      <w:r w:rsidRPr="004B47F4">
        <w:rPr>
          <w:rFonts w:asciiTheme="minorHAnsi" w:hAnsiTheme="minorHAnsi" w:cs="Arial"/>
          <w:sz w:val="24"/>
          <w:szCs w:val="24"/>
          <w:lang w:val="el-GR"/>
        </w:rPr>
        <w:t>β) κύρια: είναι εκείνα στα οποία συντελείται ένα μέρος της κατεργασίας ενός προϊόντος (πχ λιθογραφείο, βιβλιοδετείο) δηλαδή σε αυτά πραγματοποιείται ο κύριος σκοπός της επιχείρησης.</w:t>
      </w:r>
    </w:p>
    <w:p w:rsidR="003C5415" w:rsidRPr="004B47F4" w:rsidRDefault="003C5415" w:rsidP="003C5415">
      <w:pPr>
        <w:ind w:firstLine="284"/>
        <w:jc w:val="both"/>
        <w:rPr>
          <w:rFonts w:asciiTheme="minorHAnsi" w:hAnsiTheme="minorHAnsi" w:cs="Arial"/>
          <w:sz w:val="24"/>
          <w:szCs w:val="24"/>
          <w:lang w:val="el-GR"/>
        </w:rPr>
      </w:pPr>
    </w:p>
    <w:p w:rsidR="003C5415" w:rsidRPr="004B47F4" w:rsidRDefault="003C5415" w:rsidP="003C5415">
      <w:pPr>
        <w:ind w:firstLine="284"/>
        <w:jc w:val="both"/>
        <w:rPr>
          <w:rFonts w:asciiTheme="minorHAnsi" w:hAnsiTheme="minorHAnsi" w:cs="Arial"/>
          <w:sz w:val="24"/>
          <w:szCs w:val="24"/>
          <w:lang w:val="el-GR"/>
        </w:rPr>
      </w:pPr>
      <w:r w:rsidRPr="004B47F4">
        <w:rPr>
          <w:rFonts w:asciiTheme="minorHAnsi" w:hAnsiTheme="minorHAnsi" w:cs="Arial"/>
          <w:sz w:val="24"/>
          <w:szCs w:val="24"/>
          <w:lang w:val="el-GR"/>
        </w:rPr>
        <w:t xml:space="preserve">Σε κάθε κέντρο κόστους γίνεται η συγκέντρωση του βιομηχανικού κόστους και η μέτρηση των παραγόμενων ποσοτήτων (εκροών). Ο προσδιορισμός κόστους ενός προϊόντος εξαρτάται από πολλούς παράγοντες όπως τον τύπο του προϊόντος, την πολυπλοκότητα της παραγωγικής δραστηριότητας και τις απαιτήσεις της διοίκησης. Ένας τύπος προϊόντος μπορεί να απαιτεί ένα ή δύο ή και τρία κέντρα κόστους για να παραχθεί, άλλα προϊόντα μπορεί να απαιτούν περισσότερα κέντρα κόστους. Ο αριθμός των κέντρων κόστους που απαιτείται για να παραχθεί ένα προϊόν προσδιορίζει το κόστος εργασίας που πρέπει να πραγματοποιηθεί καθώς και τον όγκο των δεδομένων του κόστους  τα οποία </w:t>
      </w:r>
      <w:r w:rsidR="004B47F4" w:rsidRPr="004B47F4">
        <w:rPr>
          <w:rFonts w:asciiTheme="minorHAnsi" w:hAnsiTheme="minorHAnsi" w:cs="Arial"/>
          <w:sz w:val="24"/>
          <w:szCs w:val="24"/>
          <w:lang w:val="el-GR"/>
        </w:rPr>
        <w:t>πρέπει</w:t>
      </w:r>
      <w:r w:rsidRPr="004B47F4">
        <w:rPr>
          <w:rFonts w:asciiTheme="minorHAnsi" w:hAnsiTheme="minorHAnsi" w:cs="Arial"/>
          <w:sz w:val="24"/>
          <w:szCs w:val="24"/>
          <w:lang w:val="el-GR"/>
        </w:rPr>
        <w:t xml:space="preserve"> να είναι γνωστά στη διοίκηση. </w:t>
      </w:r>
    </w:p>
    <w:p w:rsidR="003C5415" w:rsidRPr="004B47F4" w:rsidRDefault="003C5415" w:rsidP="003C5415">
      <w:pPr>
        <w:jc w:val="both"/>
        <w:rPr>
          <w:rFonts w:asciiTheme="minorHAnsi" w:hAnsiTheme="minorHAnsi" w:cs="Arial"/>
          <w:sz w:val="24"/>
          <w:szCs w:val="24"/>
          <w:u w:val="single"/>
          <w:lang w:val="el-GR"/>
        </w:rPr>
      </w:pPr>
    </w:p>
    <w:p w:rsidR="004B47F4" w:rsidRDefault="004B47F4">
      <w:pPr>
        <w:rPr>
          <w:rFonts w:eastAsiaTheme="majorEastAsia" w:cstheme="majorBidi"/>
          <w:b/>
          <w:bCs/>
          <w:sz w:val="28"/>
          <w:szCs w:val="26"/>
          <w:lang w:val="el-GR"/>
        </w:rPr>
      </w:pPr>
      <w:r>
        <w:rPr>
          <w:lang w:val="el-GR"/>
        </w:rPr>
        <w:br w:type="page"/>
      </w:r>
    </w:p>
    <w:p w:rsidR="003C5415" w:rsidRPr="004B47F4" w:rsidRDefault="003C5415" w:rsidP="004B47F4">
      <w:pPr>
        <w:pStyle w:val="2"/>
        <w:rPr>
          <w:lang w:val="el-GR"/>
        </w:rPr>
      </w:pPr>
      <w:bookmarkStart w:id="4" w:name="_Toc425765587"/>
      <w:r w:rsidRPr="004B47F4">
        <w:rPr>
          <w:lang w:val="el-GR"/>
        </w:rPr>
        <w:lastRenderedPageBreak/>
        <w:t>Κέντρα κόστους σε μια επιχείρηση γραφικών τεχνών</w:t>
      </w:r>
      <w:bookmarkEnd w:id="4"/>
    </w:p>
    <w:p w:rsidR="003C5415" w:rsidRPr="004B47F4" w:rsidRDefault="003C5415" w:rsidP="003C5415">
      <w:pPr>
        <w:jc w:val="both"/>
        <w:rPr>
          <w:rFonts w:asciiTheme="minorHAnsi" w:hAnsiTheme="minorHAnsi" w:cs="Arial"/>
          <w:sz w:val="24"/>
          <w:szCs w:val="24"/>
          <w:lang w:val="el-GR"/>
        </w:rPr>
      </w:pPr>
    </w:p>
    <w:p w:rsidR="003C5415" w:rsidRPr="004B47F4" w:rsidRDefault="003C5415" w:rsidP="003C5415">
      <w:pPr>
        <w:jc w:val="both"/>
        <w:rPr>
          <w:rFonts w:asciiTheme="minorHAnsi" w:hAnsiTheme="minorHAnsi" w:cs="Arial"/>
          <w:sz w:val="24"/>
          <w:szCs w:val="24"/>
          <w:lang w:val="el-GR"/>
        </w:rPr>
      </w:pPr>
      <w:r w:rsidRPr="004B47F4">
        <w:rPr>
          <w:rFonts w:asciiTheme="minorHAnsi" w:hAnsiTheme="minorHAnsi" w:cs="Arial"/>
          <w:sz w:val="24"/>
          <w:szCs w:val="24"/>
          <w:lang w:val="el-GR"/>
        </w:rPr>
        <w:t>Στον κλάδο των γραφικών τεχνών απαντώνται συνήθως τα ακόλουθα κέντρα κόστους:</w:t>
      </w:r>
    </w:p>
    <w:p w:rsidR="003C5415" w:rsidRPr="004B47F4" w:rsidRDefault="003C5415" w:rsidP="003C5415">
      <w:pPr>
        <w:numPr>
          <w:ilvl w:val="0"/>
          <w:numId w:val="44"/>
        </w:numPr>
        <w:spacing w:after="0"/>
        <w:jc w:val="both"/>
        <w:rPr>
          <w:rFonts w:asciiTheme="minorHAnsi" w:hAnsiTheme="minorHAnsi" w:cs="Arial"/>
          <w:sz w:val="24"/>
          <w:szCs w:val="24"/>
          <w:lang w:val="el-GR"/>
        </w:rPr>
      </w:pPr>
      <w:r w:rsidRPr="004B47F4">
        <w:rPr>
          <w:rFonts w:asciiTheme="minorHAnsi" w:hAnsiTheme="minorHAnsi" w:cs="Arial"/>
          <w:sz w:val="24"/>
          <w:szCs w:val="24"/>
          <w:lang w:val="el-GR"/>
        </w:rPr>
        <w:t>Ως γενικά ή βοηθητικά: υπηρεσία κτηρίων, προσωπικό, οργάνωση παραγωγής, διοίκηση, γενικές υπηρεσίες</w:t>
      </w:r>
    </w:p>
    <w:p w:rsidR="003C5415" w:rsidRPr="004B47F4" w:rsidRDefault="003C5415" w:rsidP="003C5415">
      <w:pPr>
        <w:numPr>
          <w:ilvl w:val="0"/>
          <w:numId w:val="44"/>
        </w:numPr>
        <w:spacing w:after="0"/>
        <w:jc w:val="both"/>
        <w:rPr>
          <w:rFonts w:asciiTheme="minorHAnsi" w:hAnsiTheme="minorHAnsi" w:cs="Arial"/>
          <w:sz w:val="24"/>
          <w:szCs w:val="24"/>
          <w:lang w:val="el-GR"/>
        </w:rPr>
      </w:pPr>
      <w:r w:rsidRPr="004B47F4">
        <w:rPr>
          <w:rFonts w:asciiTheme="minorHAnsi" w:hAnsiTheme="minorHAnsi" w:cs="Arial"/>
          <w:sz w:val="24"/>
          <w:szCs w:val="24"/>
          <w:lang w:val="el-GR"/>
        </w:rPr>
        <w:t>Ως ανεξάρτητα κέντρα κόστους: αποθήκευση, μεταφορά</w:t>
      </w:r>
    </w:p>
    <w:p w:rsidR="003C5415" w:rsidRPr="004B47F4" w:rsidRDefault="003C5415" w:rsidP="003C5415">
      <w:pPr>
        <w:numPr>
          <w:ilvl w:val="0"/>
          <w:numId w:val="44"/>
        </w:numPr>
        <w:spacing w:after="0"/>
        <w:jc w:val="both"/>
        <w:rPr>
          <w:rFonts w:asciiTheme="minorHAnsi" w:hAnsiTheme="minorHAnsi" w:cs="Arial"/>
          <w:sz w:val="24"/>
          <w:szCs w:val="24"/>
          <w:lang w:val="el-GR"/>
        </w:rPr>
      </w:pPr>
      <w:r w:rsidRPr="004B47F4">
        <w:rPr>
          <w:rFonts w:asciiTheme="minorHAnsi" w:hAnsiTheme="minorHAnsi" w:cs="Arial"/>
          <w:sz w:val="24"/>
          <w:szCs w:val="24"/>
          <w:lang w:val="el-GR"/>
        </w:rPr>
        <w:t>Ως κύρια κέντρα κόστους: προεκτύπωση, εκτύπωση, βιβλιοδεσία</w:t>
      </w:r>
    </w:p>
    <w:p w:rsidR="003C5415" w:rsidRPr="004B47F4" w:rsidRDefault="003C5415" w:rsidP="003C5415">
      <w:pPr>
        <w:ind w:firstLine="284"/>
        <w:jc w:val="both"/>
        <w:rPr>
          <w:rFonts w:asciiTheme="minorHAnsi" w:hAnsiTheme="minorHAnsi" w:cs="Arial"/>
          <w:sz w:val="24"/>
          <w:szCs w:val="24"/>
          <w:lang w:val="el-GR"/>
        </w:rPr>
      </w:pPr>
    </w:p>
    <w:p w:rsidR="003C5415" w:rsidRPr="004B47F4" w:rsidRDefault="003C5415" w:rsidP="003C5415">
      <w:pPr>
        <w:ind w:firstLine="284"/>
        <w:jc w:val="both"/>
        <w:rPr>
          <w:rFonts w:asciiTheme="minorHAnsi" w:hAnsiTheme="minorHAnsi" w:cs="Arial"/>
          <w:sz w:val="24"/>
          <w:szCs w:val="24"/>
          <w:lang w:val="el-GR"/>
        </w:rPr>
      </w:pPr>
      <w:r w:rsidRPr="004B47F4">
        <w:rPr>
          <w:rFonts w:asciiTheme="minorHAnsi" w:hAnsiTheme="minorHAnsi" w:cs="Arial"/>
          <w:sz w:val="24"/>
          <w:szCs w:val="24"/>
          <w:lang w:val="el-GR"/>
        </w:rPr>
        <w:t xml:space="preserve">Καθένα από τα παραπάνω, διαιρείται σε επιμέρους κέντρα διότι γενικά δεν είναι αρκετό το να είναι γνωστό το κόστος ολόκληρου του τμήματος αλλά απαιτείται να επιμερίζεται σε μικρότερα – βοηθητικά κέντα κόστους. Για παράδειγμα, σε ένα λιθογραφείο με τέσσερις εκτυπωτικές μηχανές όφσετ, δεν </w:t>
      </w:r>
      <w:r w:rsidR="00D220C1" w:rsidRPr="004B47F4">
        <w:rPr>
          <w:rFonts w:asciiTheme="minorHAnsi" w:hAnsiTheme="minorHAnsi" w:cs="Arial"/>
          <w:sz w:val="24"/>
          <w:szCs w:val="24"/>
          <w:lang w:val="el-GR"/>
        </w:rPr>
        <w:t>αρκεί</w:t>
      </w:r>
      <w:r w:rsidRPr="004B47F4">
        <w:rPr>
          <w:rFonts w:asciiTheme="minorHAnsi" w:hAnsiTheme="minorHAnsi" w:cs="Arial"/>
          <w:sz w:val="24"/>
          <w:szCs w:val="24"/>
          <w:lang w:val="el-GR"/>
        </w:rPr>
        <w:t xml:space="preserve"> να προσδιορισθεί ένα γενικό κέντρο κόστους για όλο το λιθογραφείο – τμήμα εκτύπωσης, αλλά είναι αναγκαίο να είναι γνωστό το ωριαίο κόστος λειτουργίας και χρήσης για κάθε εκτυπωτική μηχανή. </w:t>
      </w:r>
    </w:p>
    <w:p w:rsidR="003C5415" w:rsidRPr="004B47F4" w:rsidRDefault="003C5415" w:rsidP="003C5415">
      <w:pPr>
        <w:jc w:val="both"/>
        <w:rPr>
          <w:rFonts w:asciiTheme="minorHAnsi" w:hAnsiTheme="minorHAnsi" w:cs="Arial"/>
          <w:sz w:val="24"/>
          <w:szCs w:val="24"/>
          <w:lang w:val="el-GR"/>
        </w:rPr>
      </w:pPr>
    </w:p>
    <w:p w:rsidR="003C5415" w:rsidRPr="004B47F4" w:rsidRDefault="003C5415" w:rsidP="003C5415">
      <w:pPr>
        <w:numPr>
          <w:ilvl w:val="0"/>
          <w:numId w:val="45"/>
        </w:numPr>
        <w:spacing w:after="0"/>
        <w:jc w:val="both"/>
        <w:rPr>
          <w:rFonts w:asciiTheme="minorHAnsi" w:hAnsiTheme="minorHAnsi" w:cs="Arial"/>
          <w:sz w:val="24"/>
          <w:szCs w:val="24"/>
          <w:lang w:val="el-GR"/>
        </w:rPr>
      </w:pPr>
      <w:r w:rsidRPr="004B47F4">
        <w:rPr>
          <w:rFonts w:asciiTheme="minorHAnsi" w:hAnsiTheme="minorHAnsi" w:cs="Arial"/>
          <w:sz w:val="24"/>
          <w:szCs w:val="24"/>
          <w:lang w:val="el-GR"/>
        </w:rPr>
        <w:t>Συμπληρωματικά κέντρα κόστους: αυτά τα κέντρα δεν αφορούν μία ιδιαίτερη δραστηριότητα, αλλά συγκεκριμένες ομάδες δαπανών οι οποίες σχετίζονται με τον ίδιο τρόπο με το άμεσο κόστος.  Για παράδειγμα, όλα τα έμμεσα κόστη που σχετίζονται με την αξία του χαρτιού που καταναλώνεται μπορούν να ομαδοποιηθούν σε ένα συμπληρωματικό κόστος. Στη συνέχεια αυτά τα έμμεσα κόστη ενσωματώνονται στο τελικό κόστος του προϊόντος διά της επιβάρυνσης του άμεσου κόστους. Όλα τα συμπληρωματικά κέντρα κόστους κατονομάζονται μαζί με την έκφραση «με βάση», π.χ. με βάση την αξία του χαρτιού, με βάση το βάρος του χαρτιού, με βάση των αριθμό των παραγγελιών, κλπ. Αυτά τα κέντρα κόστους εμφανίζονται μετά από τα κύρια κέντρα κόστους.</w:t>
      </w:r>
    </w:p>
    <w:p w:rsidR="003C5415" w:rsidRPr="004B47F4" w:rsidRDefault="003C5415" w:rsidP="003C5415">
      <w:pPr>
        <w:jc w:val="both"/>
        <w:rPr>
          <w:rFonts w:asciiTheme="minorHAnsi" w:hAnsiTheme="minorHAnsi" w:cs="Arial"/>
          <w:sz w:val="24"/>
          <w:szCs w:val="24"/>
          <w:lang w:val="el-GR"/>
        </w:rPr>
      </w:pPr>
    </w:p>
    <w:p w:rsidR="003C5415" w:rsidRPr="004B47F4" w:rsidRDefault="003C5415" w:rsidP="003C5415">
      <w:pPr>
        <w:pStyle w:val="Web"/>
        <w:spacing w:before="0" w:beforeAutospacing="0" w:after="0" w:afterAutospacing="0" w:line="276" w:lineRule="auto"/>
        <w:jc w:val="both"/>
        <w:rPr>
          <w:rFonts w:asciiTheme="minorHAnsi" w:hAnsiTheme="minorHAnsi" w:cs="Arial"/>
          <w:bCs/>
          <w:color w:val="000000"/>
        </w:rPr>
      </w:pPr>
    </w:p>
    <w:p w:rsidR="003C5415" w:rsidRPr="004B47F4" w:rsidRDefault="003C5415" w:rsidP="004B47F4">
      <w:pPr>
        <w:pStyle w:val="2"/>
      </w:pPr>
      <w:bookmarkStart w:id="5" w:name="_Toc425765588"/>
      <w:r w:rsidRPr="004B47F4">
        <w:t>Περιγραφή μεθόδων κοστολόγησης</w:t>
      </w:r>
      <w:bookmarkEnd w:id="5"/>
    </w:p>
    <w:p w:rsidR="003C5415" w:rsidRPr="004B47F4" w:rsidRDefault="003C5415" w:rsidP="003C5415">
      <w:pPr>
        <w:pStyle w:val="Web"/>
        <w:spacing w:before="0" w:beforeAutospacing="0" w:after="0" w:afterAutospacing="0" w:line="276" w:lineRule="auto"/>
        <w:jc w:val="both"/>
        <w:rPr>
          <w:rFonts w:asciiTheme="minorHAnsi" w:hAnsiTheme="minorHAnsi" w:cs="Arial"/>
          <w:b/>
          <w:bCs/>
          <w:color w:val="000000"/>
        </w:rPr>
      </w:pPr>
    </w:p>
    <w:p w:rsidR="003C5415" w:rsidRPr="004B47F4" w:rsidRDefault="003C5415" w:rsidP="003C5415">
      <w:pPr>
        <w:pStyle w:val="Web"/>
        <w:spacing w:before="0" w:beforeAutospacing="0" w:after="0" w:afterAutospacing="0" w:line="276" w:lineRule="auto"/>
        <w:jc w:val="both"/>
        <w:rPr>
          <w:rFonts w:asciiTheme="minorHAnsi" w:hAnsiTheme="minorHAnsi" w:cs="Arial"/>
          <w:bCs/>
          <w:color w:val="000000"/>
        </w:rPr>
      </w:pPr>
      <w:r w:rsidRPr="004B47F4">
        <w:rPr>
          <w:rFonts w:asciiTheme="minorHAnsi" w:hAnsiTheme="minorHAnsi" w:cs="Arial"/>
          <w:bCs/>
          <w:color w:val="000000"/>
        </w:rPr>
        <w:t xml:space="preserve">Μια μέθοδος κοστολόγησης πρέπει να σχεδιάζεται ανάλογα με τον τρόπο παραγωγής των προϊόντων ή παροχής των υπηρεσιών. Συνεπώς κάθε επιχείρηση θα ακολουθεί μια μέθοδο κοστολόγησης η οποία θα έχει μοναδικά χαρακτηριστικά. Βέβαια θα υπάρχουν κοινά χαρακτηριστικά μεταξύ των συστημάτων κοστολόγησης επιχειρήσεων που ανήκουν στον ίδιο παραγωγικό τομέα. </w:t>
      </w:r>
    </w:p>
    <w:p w:rsidR="003C5415" w:rsidRPr="004B47F4" w:rsidRDefault="003C5415" w:rsidP="003C5415">
      <w:pPr>
        <w:pStyle w:val="Web"/>
        <w:spacing w:before="0" w:beforeAutospacing="0" w:after="0" w:afterAutospacing="0" w:line="276" w:lineRule="auto"/>
        <w:jc w:val="both"/>
        <w:rPr>
          <w:rFonts w:asciiTheme="minorHAnsi" w:hAnsiTheme="minorHAnsi" w:cs="Arial"/>
          <w:bCs/>
          <w:color w:val="000000"/>
        </w:rPr>
      </w:pPr>
    </w:p>
    <w:p w:rsidR="003C5415" w:rsidRPr="004B47F4" w:rsidRDefault="003C5415" w:rsidP="003C5415">
      <w:pPr>
        <w:pStyle w:val="Web"/>
        <w:spacing w:before="0" w:beforeAutospacing="0" w:after="0" w:afterAutospacing="0" w:line="276" w:lineRule="auto"/>
        <w:jc w:val="both"/>
        <w:rPr>
          <w:rFonts w:asciiTheme="minorHAnsi" w:hAnsiTheme="minorHAnsi" w:cs="Arial"/>
          <w:bCs/>
          <w:color w:val="000000"/>
        </w:rPr>
      </w:pPr>
      <w:r w:rsidRPr="004B47F4">
        <w:rPr>
          <w:rFonts w:asciiTheme="minorHAnsi" w:hAnsiTheme="minorHAnsi" w:cs="Arial"/>
          <w:bCs/>
          <w:color w:val="000000"/>
        </w:rPr>
        <w:t>Θα πρέπει να σημειωθεί πως οποιαδήποτε μέθοδος και αν ακολουθείται, χρησιμοποιούνται οι βασικές αρχές κοστολόγησης σχετικά με την ανάλυση, κατανομή και απορρόφηση του κόστους.</w:t>
      </w:r>
    </w:p>
    <w:p w:rsidR="003C5415" w:rsidRPr="004B47F4" w:rsidRDefault="003C5415" w:rsidP="003C5415">
      <w:pPr>
        <w:pStyle w:val="Web"/>
        <w:spacing w:before="0" w:beforeAutospacing="0" w:after="0" w:afterAutospacing="0" w:line="276" w:lineRule="auto"/>
        <w:jc w:val="both"/>
        <w:rPr>
          <w:rFonts w:asciiTheme="minorHAnsi" w:hAnsiTheme="minorHAnsi" w:cs="Arial"/>
          <w:bCs/>
          <w:color w:val="000000"/>
        </w:rPr>
      </w:pPr>
    </w:p>
    <w:p w:rsidR="003C5415" w:rsidRPr="004B47F4" w:rsidRDefault="003C5415" w:rsidP="003C5415">
      <w:pPr>
        <w:pStyle w:val="af0"/>
        <w:spacing w:line="276" w:lineRule="auto"/>
        <w:jc w:val="both"/>
        <w:rPr>
          <w:rFonts w:asciiTheme="minorHAnsi" w:hAnsiTheme="minorHAnsi" w:cs="Arial"/>
          <w:b/>
          <w:lang w:val="el-GR"/>
        </w:rPr>
      </w:pPr>
      <w:r w:rsidRPr="004B47F4">
        <w:rPr>
          <w:rFonts w:asciiTheme="minorHAnsi" w:hAnsiTheme="minorHAnsi" w:cs="Arial"/>
          <w:b/>
        </w:rPr>
        <w:t>Κατηγορίες μεθόδων κοστολόγησης</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rPr>
        <w:t>Υπάρχουν δύο μεγάλες κατηγορίες μεθόδων κοστολόγησης προϊόντων</w:t>
      </w:r>
      <w:r w:rsidRPr="004B47F4">
        <w:rPr>
          <w:rFonts w:asciiTheme="minorHAnsi" w:hAnsiTheme="minorHAnsi" w:cs="Arial"/>
          <w:lang w:val="el-GR"/>
        </w:rPr>
        <w:t>.</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numPr>
          <w:ilvl w:val="0"/>
          <w:numId w:val="46"/>
        </w:numPr>
        <w:spacing w:line="276" w:lineRule="auto"/>
        <w:jc w:val="both"/>
        <w:rPr>
          <w:rFonts w:asciiTheme="minorHAnsi" w:hAnsiTheme="minorHAnsi" w:cs="Arial"/>
        </w:rPr>
      </w:pPr>
      <w:r w:rsidRPr="004B47F4">
        <w:rPr>
          <w:rFonts w:asciiTheme="minorHAnsi" w:hAnsiTheme="minorHAnsi" w:cs="Arial"/>
        </w:rPr>
        <w:t>Κοστολόγηση κατά παραγγελία</w:t>
      </w:r>
    </w:p>
    <w:p w:rsidR="003C5415" w:rsidRPr="004B47F4" w:rsidRDefault="003C5415" w:rsidP="003C5415">
      <w:pPr>
        <w:pStyle w:val="af0"/>
        <w:numPr>
          <w:ilvl w:val="0"/>
          <w:numId w:val="46"/>
        </w:numPr>
        <w:spacing w:line="276" w:lineRule="auto"/>
        <w:jc w:val="both"/>
        <w:rPr>
          <w:rFonts w:asciiTheme="minorHAnsi" w:hAnsiTheme="minorHAnsi" w:cs="Arial"/>
          <w:lang w:val="el-GR"/>
        </w:rPr>
      </w:pPr>
      <w:r w:rsidRPr="004B47F4">
        <w:rPr>
          <w:rFonts w:asciiTheme="minorHAnsi" w:hAnsiTheme="minorHAnsi" w:cs="Arial"/>
        </w:rPr>
        <w:t>Κοστολόγηση κατά λειτουργία ή διαδικασία ή συνεχής κοστολόγηση</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b/>
        </w:rPr>
        <w:t>Η κοστολόγηση κατά παραγγελία</w:t>
      </w:r>
      <w:r w:rsidRPr="004B47F4">
        <w:rPr>
          <w:rFonts w:asciiTheme="minorHAnsi" w:hAnsiTheme="minorHAnsi" w:cs="Arial"/>
        </w:rPr>
        <w:t xml:space="preserve"> εφαρμόζεται </w:t>
      </w:r>
      <w:r w:rsidRPr="004B47F4">
        <w:rPr>
          <w:rFonts w:asciiTheme="minorHAnsi" w:hAnsiTheme="minorHAnsi" w:cs="Arial"/>
          <w:lang w:val="el-GR"/>
        </w:rPr>
        <w:t>στην περίπτωση όπου παράγονται χωριστά προϊόντα ή υπηρεσίες ανάλογα με τις απαιτήσεις των πελατών και αποτελεί τη μέθοδο κοστολόγησης που χρησιμοποιείται στις γραφικές τέχνες.</w:t>
      </w:r>
      <w:r w:rsidRPr="004B47F4">
        <w:rPr>
          <w:rFonts w:asciiTheme="minorHAnsi" w:hAnsiTheme="minorHAnsi" w:cs="Arial"/>
        </w:rPr>
        <w:t xml:space="preserve"> Οι κυριότερες υποδιαιρέσεις</w:t>
      </w:r>
      <w:r w:rsidRPr="004B47F4">
        <w:rPr>
          <w:rFonts w:asciiTheme="minorHAnsi" w:hAnsiTheme="minorHAnsi" w:cs="Arial"/>
          <w:lang w:val="el-GR"/>
        </w:rPr>
        <w:t>(τεχνικές)</w:t>
      </w:r>
      <w:r w:rsidRPr="004B47F4">
        <w:rPr>
          <w:rFonts w:asciiTheme="minorHAnsi" w:hAnsiTheme="minorHAnsi" w:cs="Arial"/>
        </w:rPr>
        <w:t xml:space="preserve"> αυτής της μεθόδου είναι:</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numPr>
          <w:ilvl w:val="0"/>
          <w:numId w:val="47"/>
        </w:numPr>
        <w:spacing w:line="276" w:lineRule="auto"/>
        <w:jc w:val="both"/>
        <w:rPr>
          <w:rFonts w:asciiTheme="minorHAnsi" w:hAnsiTheme="minorHAnsi" w:cs="Arial"/>
        </w:rPr>
      </w:pPr>
      <w:r w:rsidRPr="004B47F4">
        <w:rPr>
          <w:rFonts w:asciiTheme="minorHAnsi" w:hAnsiTheme="minorHAnsi" w:cs="Arial"/>
        </w:rPr>
        <w:t>Κοστολόγηση κατά έργο</w:t>
      </w:r>
    </w:p>
    <w:p w:rsidR="003C5415" w:rsidRPr="004B47F4" w:rsidRDefault="003C5415" w:rsidP="003C5415">
      <w:pPr>
        <w:pStyle w:val="af0"/>
        <w:numPr>
          <w:ilvl w:val="0"/>
          <w:numId w:val="47"/>
        </w:numPr>
        <w:spacing w:line="276" w:lineRule="auto"/>
        <w:jc w:val="both"/>
        <w:rPr>
          <w:rFonts w:asciiTheme="minorHAnsi" w:hAnsiTheme="minorHAnsi" w:cs="Arial"/>
        </w:rPr>
      </w:pPr>
      <w:r w:rsidRPr="004B47F4">
        <w:rPr>
          <w:rFonts w:asciiTheme="minorHAnsi" w:hAnsiTheme="minorHAnsi" w:cs="Arial"/>
        </w:rPr>
        <w:t>Κοστολόγηση κατά σύμβαση</w:t>
      </w:r>
    </w:p>
    <w:p w:rsidR="003C5415" w:rsidRPr="004B47F4" w:rsidRDefault="003C5415" w:rsidP="003C5415">
      <w:pPr>
        <w:pStyle w:val="af0"/>
        <w:numPr>
          <w:ilvl w:val="0"/>
          <w:numId w:val="47"/>
        </w:numPr>
        <w:spacing w:line="276" w:lineRule="auto"/>
        <w:jc w:val="both"/>
        <w:rPr>
          <w:rFonts w:asciiTheme="minorHAnsi" w:hAnsiTheme="minorHAnsi" w:cs="Arial"/>
          <w:lang w:val="el-GR"/>
        </w:rPr>
      </w:pPr>
      <w:r w:rsidRPr="004B47F4">
        <w:rPr>
          <w:rFonts w:asciiTheme="minorHAnsi" w:hAnsiTheme="minorHAnsi" w:cs="Arial"/>
        </w:rPr>
        <w:t>Κοστολόγηση κατά παρτίδα</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b/>
        </w:rPr>
        <w:t>Η κοστολόγηση κατά λειτουργία ή διαδικασία (</w:t>
      </w:r>
      <w:r w:rsidRPr="004B47F4">
        <w:rPr>
          <w:rFonts w:asciiTheme="minorHAnsi" w:hAnsiTheme="minorHAnsi" w:cs="Arial"/>
          <w:b/>
          <w:lang w:val="en-US"/>
        </w:rPr>
        <w:t>ABC</w:t>
      </w:r>
      <w:r w:rsidRPr="004B47F4">
        <w:rPr>
          <w:rFonts w:asciiTheme="minorHAnsi" w:hAnsiTheme="minorHAnsi" w:cs="Arial"/>
          <w:b/>
          <w:lang w:val="el-GR"/>
        </w:rPr>
        <w:t xml:space="preserve"> </w:t>
      </w:r>
      <w:r w:rsidRPr="004B47F4">
        <w:rPr>
          <w:rFonts w:asciiTheme="minorHAnsi" w:hAnsiTheme="minorHAnsi" w:cs="Arial"/>
          <w:b/>
          <w:lang w:val="en-US"/>
        </w:rPr>
        <w:t>Activity</w:t>
      </w:r>
      <w:r w:rsidRPr="004B47F4">
        <w:rPr>
          <w:rFonts w:asciiTheme="minorHAnsi" w:hAnsiTheme="minorHAnsi" w:cs="Arial"/>
          <w:b/>
          <w:lang w:val="el-GR"/>
        </w:rPr>
        <w:t xml:space="preserve"> </w:t>
      </w:r>
      <w:r w:rsidRPr="004B47F4">
        <w:rPr>
          <w:rFonts w:asciiTheme="minorHAnsi" w:hAnsiTheme="minorHAnsi" w:cs="Arial"/>
          <w:b/>
          <w:lang w:val="en-US"/>
        </w:rPr>
        <w:t>Based</w:t>
      </w:r>
      <w:r w:rsidRPr="004B47F4">
        <w:rPr>
          <w:rFonts w:asciiTheme="minorHAnsi" w:hAnsiTheme="minorHAnsi" w:cs="Arial"/>
          <w:b/>
          <w:lang w:val="el-GR"/>
        </w:rPr>
        <w:t xml:space="preserve"> </w:t>
      </w:r>
      <w:r w:rsidRPr="004B47F4">
        <w:rPr>
          <w:rFonts w:asciiTheme="minorHAnsi" w:hAnsiTheme="minorHAnsi" w:cs="Arial"/>
          <w:b/>
          <w:lang w:val="en-US"/>
        </w:rPr>
        <w:t>Costing</w:t>
      </w:r>
      <w:r w:rsidRPr="004B47F4">
        <w:rPr>
          <w:rFonts w:asciiTheme="minorHAnsi" w:hAnsiTheme="minorHAnsi" w:cs="Arial"/>
          <w:b/>
          <w:lang w:val="el-GR"/>
        </w:rPr>
        <w:t>)</w:t>
      </w:r>
      <w:r w:rsidRPr="004B47F4">
        <w:rPr>
          <w:rFonts w:asciiTheme="minorHAnsi" w:hAnsiTheme="minorHAnsi" w:cs="Arial"/>
        </w:rPr>
        <w:t xml:space="preserve"> εφαρμόζεται εκεί όπου παράγονται </w:t>
      </w:r>
      <w:r w:rsidRPr="004B47F4">
        <w:rPr>
          <w:rFonts w:asciiTheme="minorHAnsi" w:hAnsiTheme="minorHAnsi" w:cs="Arial"/>
          <w:lang w:val="el-GR"/>
        </w:rPr>
        <w:t xml:space="preserve">τυποποιημένα </w:t>
      </w:r>
      <w:r w:rsidRPr="004B47F4">
        <w:rPr>
          <w:rFonts w:asciiTheme="minorHAnsi" w:hAnsiTheme="minorHAnsi" w:cs="Arial"/>
        </w:rPr>
        <w:t xml:space="preserve">προϊόντα ή υπηρεσίες </w:t>
      </w:r>
      <w:r w:rsidRPr="004B47F4">
        <w:rPr>
          <w:rFonts w:asciiTheme="minorHAnsi" w:hAnsiTheme="minorHAnsi" w:cs="Arial"/>
          <w:lang w:val="el-GR"/>
        </w:rPr>
        <w:t>μαζικά</w:t>
      </w:r>
      <w:r w:rsidRPr="004B47F4">
        <w:rPr>
          <w:rFonts w:asciiTheme="minorHAnsi" w:hAnsiTheme="minorHAnsi" w:cs="Arial"/>
        </w:rPr>
        <w:t xml:space="preserve">. </w:t>
      </w:r>
      <w:r w:rsidRPr="004B47F4">
        <w:rPr>
          <w:rFonts w:asciiTheme="minorHAnsi" w:hAnsiTheme="minorHAnsi" w:cs="Arial"/>
          <w:lang w:val="el-GR"/>
        </w:rPr>
        <w:t>Ο υπολογισμός του κόστους των προϊόντων εξαρτάται από τον τρόπο παραγωγής τους.</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Μια πολύ σημαντική διαφορά μεταξύ των αρχών κοστολόγησης σε σχέση με την </w:t>
      </w:r>
      <w:r w:rsidRPr="004B47F4">
        <w:rPr>
          <w:rFonts w:asciiTheme="minorHAnsi" w:hAnsiTheme="minorHAnsi" w:cs="Arial"/>
          <w:b/>
          <w:lang w:val="el-GR"/>
        </w:rPr>
        <w:t>κοστολόγηση κατά παραγγελία</w:t>
      </w:r>
      <w:r w:rsidRPr="004B47F4">
        <w:rPr>
          <w:rFonts w:asciiTheme="minorHAnsi" w:hAnsiTheme="minorHAnsi" w:cs="Arial"/>
          <w:lang w:val="el-GR"/>
        </w:rPr>
        <w:t xml:space="preserve"> και την </w:t>
      </w:r>
      <w:r w:rsidRPr="004B47F4">
        <w:rPr>
          <w:rFonts w:asciiTheme="minorHAnsi" w:hAnsiTheme="minorHAnsi" w:cs="Arial"/>
          <w:b/>
          <w:lang w:val="el-GR"/>
        </w:rPr>
        <w:t>κοστολόγηση κατά λειτουργία</w:t>
      </w:r>
      <w:r w:rsidRPr="004B47F4">
        <w:rPr>
          <w:rFonts w:asciiTheme="minorHAnsi" w:hAnsiTheme="minorHAnsi" w:cs="Arial"/>
          <w:lang w:val="el-GR"/>
        </w:rPr>
        <w:t xml:space="preserve"> είναι ότι, στην κοστολόγηση κατά λειτουργία όλα τα κόστη, Εργατικά, Υλικά και ΓΒΕ απορροφώνται από τα κέντρα κόστους από τα οποία στη συνέχεια κατανέμονται στις παραγόμενες μονάδες. Αυτό διαφέρει από την κοστολόγηση κατά παραγγελία όπου τα εργατικά και τα υλικά επιβαρύνουν άμεσα τη μονάδα κόστους ενώ τα ΓΒΕ κατανέμονται σε κέντρα κόστους από τα οποία στη συνέχεια κατανέμονται στις παραγόμενες μονάδες. </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b/>
          <w:lang w:val="el-GR"/>
        </w:rPr>
      </w:pPr>
    </w:p>
    <w:p w:rsidR="004B47F4" w:rsidRDefault="004B47F4">
      <w:pPr>
        <w:rPr>
          <w:rFonts w:asciiTheme="minorHAnsi" w:eastAsia="Arial Unicode MS" w:hAnsiTheme="minorHAnsi" w:cs="Arial"/>
          <w:b/>
          <w:color w:val="000000"/>
          <w:sz w:val="24"/>
          <w:szCs w:val="24"/>
          <w:lang w:val="el-GR" w:eastAsia="el-GR" w:bidi="ar-SA"/>
        </w:rPr>
      </w:pPr>
      <w:r>
        <w:rPr>
          <w:rFonts w:asciiTheme="minorHAnsi" w:hAnsiTheme="minorHAnsi" w:cs="Arial"/>
          <w:b/>
          <w:lang w:val="el-GR"/>
        </w:rPr>
        <w:br w:type="page"/>
      </w:r>
    </w:p>
    <w:p w:rsidR="003C5415" w:rsidRPr="004B47F4" w:rsidRDefault="003C5415" w:rsidP="003C5415">
      <w:pPr>
        <w:pStyle w:val="af0"/>
        <w:spacing w:line="276" w:lineRule="auto"/>
        <w:jc w:val="both"/>
        <w:rPr>
          <w:rFonts w:asciiTheme="minorHAnsi" w:hAnsiTheme="minorHAnsi" w:cs="Arial"/>
          <w:b/>
          <w:lang w:val="el-GR"/>
        </w:rPr>
      </w:pPr>
      <w:r w:rsidRPr="004B47F4">
        <w:rPr>
          <w:rFonts w:asciiTheme="minorHAnsi" w:hAnsiTheme="minorHAnsi" w:cs="Arial"/>
          <w:b/>
          <w:lang w:val="el-GR"/>
        </w:rPr>
        <w:lastRenderedPageBreak/>
        <w:t>Κοστολόγηση κατά έργο</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Στις γραφικές τέχνες εφαρμόζεται κατεξοχήν η τεχνική </w:t>
      </w:r>
      <w:r w:rsidRPr="004B47F4">
        <w:rPr>
          <w:rFonts w:asciiTheme="minorHAnsi" w:hAnsiTheme="minorHAnsi" w:cs="Arial"/>
          <w:b/>
          <w:lang w:val="el-GR"/>
        </w:rPr>
        <w:t>κοστολόγηση κατά έργο.</w:t>
      </w:r>
      <w:r w:rsidRPr="004B47F4">
        <w:rPr>
          <w:rFonts w:asciiTheme="minorHAnsi" w:hAnsiTheme="minorHAnsi" w:cs="Arial"/>
          <w:lang w:val="el-GR"/>
        </w:rPr>
        <w:t xml:space="preserve"> Η παραγωγή γίνεται με βάση εξειδικευμένη παραγγελία όπου παίζουν σημαντικό ρόλο διάφορες παράμετροι όπως: είδος εντύπου, είδος χαρτιού, ποικιλία θέματος, αριθμός χρωμάτων, τύπος εκτυπωτικής μηχανής, εργασίες περάτωσης έργου κλπ.</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Το κόστος της κάθε παραγγελίας αποτελείται από την συγκέντρωση του κόστους στο λογαριασμό </w:t>
      </w:r>
      <w:r w:rsidRPr="004B47F4">
        <w:rPr>
          <w:rFonts w:asciiTheme="minorHAnsi" w:hAnsiTheme="minorHAnsi" w:cs="Arial"/>
          <w:b/>
          <w:lang w:val="el-GR"/>
        </w:rPr>
        <w:t>Παραγωγή σε εξέλιξη.</w:t>
      </w:r>
      <w:r w:rsidRPr="004B47F4">
        <w:rPr>
          <w:rFonts w:asciiTheme="minorHAnsi" w:hAnsiTheme="minorHAnsi" w:cs="Arial"/>
          <w:lang w:val="el-GR"/>
        </w:rPr>
        <w:t xml:space="preserve"> Ο λογαριασμός αυτός χρεώνεται με τα ακόλουθα στοιχεία κόστους:</w:t>
      </w: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 </w:t>
      </w: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α) πρώτες ύλες, </w:t>
      </w: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β) άμεση εργασία, </w:t>
      </w: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γ) Γενικά Βιομηχανικά Έξοδα.</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 xml:space="preserve">Συνοπτικά, τα χαρακτηριστικά των παραπάνω τριών στοιχείων κόστους παραγωγής στην κοστολόγηση </w:t>
      </w:r>
      <w:r w:rsidR="004B47F4" w:rsidRPr="004B47F4">
        <w:rPr>
          <w:rFonts w:asciiTheme="minorHAnsi" w:hAnsiTheme="minorHAnsi" w:cs="Arial"/>
          <w:lang w:val="el-GR"/>
        </w:rPr>
        <w:t>κατά</w:t>
      </w:r>
      <w:r w:rsidRPr="004B47F4">
        <w:rPr>
          <w:rFonts w:asciiTheme="minorHAnsi" w:hAnsiTheme="minorHAnsi" w:cs="Arial"/>
          <w:lang w:val="el-GR"/>
        </w:rPr>
        <w:t xml:space="preserve"> έργο είναι: </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b/>
          <w:lang w:val="el-GR"/>
        </w:rPr>
        <w:t>Πρώτες ύλες</w:t>
      </w:r>
      <w:r w:rsidRPr="004B47F4">
        <w:rPr>
          <w:rFonts w:asciiTheme="minorHAnsi" w:hAnsiTheme="minorHAnsi" w:cs="Arial"/>
          <w:lang w:val="el-GR"/>
        </w:rPr>
        <w:t xml:space="preserve"> είναι το σύνολο του κόστους των υλικών που χρησιμοποιούνται για τη μετατροπή τους σε προϊόν. Στην περίπτωση εκτύπωσης ενός καταλόγου το προς εκτύπωση χαρτί αποτελεί την πρώτη ύλη του καταλόγου.</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b/>
          <w:lang w:val="el-GR"/>
        </w:rPr>
        <w:t>Άμεση Εργασία:</w:t>
      </w:r>
      <w:r w:rsidRPr="004B47F4">
        <w:rPr>
          <w:rFonts w:asciiTheme="minorHAnsi" w:hAnsiTheme="minorHAnsi" w:cs="Arial"/>
          <w:lang w:val="el-GR"/>
        </w:rPr>
        <w:t xml:space="preserve"> είναι το σύνολο του κόστους απασχόλησης των εργαζομένων οι οποίοι συμμετέχουν στη μετατροπής της πρώτης ύλης σε προϊόν. Για παράδειγμα το κόστος των ημερομισθίων των εργαζομένων, οι υπερωρίες, οι εργοδοτικές εισφορές κ.τ.λ.</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b/>
          <w:lang w:val="el-GR"/>
        </w:rPr>
        <w:t>Γενικά Βιομηχανικά έξοδα (Γ.Β.Ε.)</w:t>
      </w:r>
      <w:r w:rsidRPr="004B47F4">
        <w:rPr>
          <w:rFonts w:asciiTheme="minorHAnsi" w:hAnsiTheme="minorHAnsi" w:cs="Arial"/>
          <w:lang w:val="el-GR"/>
        </w:rPr>
        <w:t xml:space="preserve"> είναι το σύνολο των εξόδων (εκτός από τις πρώτες ύλες και τα άμεσα εργατικά) τα οποία αφορούν την ολοκλήρωση των υλικών σε προϊόν. Τα Γ.Β.Ε. έχουν σχέση με τα έξοδα που πραγματοποιούνται στο χώρο του εργοστασίου. Για παράδειγμα, τα ενοίκια εργοστασίου, τα ασφάλιστρα εργοστασίου, οι μισθοί του επιστάτη, κτλ.</w:t>
      </w:r>
    </w:p>
    <w:p w:rsidR="003C5415" w:rsidRPr="004B47F4" w:rsidRDefault="003C5415" w:rsidP="003C5415">
      <w:pPr>
        <w:pStyle w:val="af0"/>
        <w:spacing w:line="276" w:lineRule="auto"/>
        <w:jc w:val="both"/>
        <w:rPr>
          <w:rFonts w:asciiTheme="minorHAnsi" w:hAnsiTheme="minorHAnsi" w:cs="Arial"/>
          <w:lang w:val="el-GR"/>
        </w:rPr>
      </w:pPr>
    </w:p>
    <w:p w:rsidR="003C5415" w:rsidRPr="004B47F4" w:rsidRDefault="003C5415" w:rsidP="003C5415">
      <w:pPr>
        <w:pStyle w:val="af0"/>
        <w:spacing w:line="276" w:lineRule="auto"/>
        <w:jc w:val="both"/>
        <w:rPr>
          <w:rFonts w:asciiTheme="minorHAnsi" w:hAnsiTheme="minorHAnsi" w:cs="Arial"/>
          <w:lang w:val="el-GR"/>
        </w:rPr>
      </w:pPr>
      <w:r w:rsidRPr="004B47F4">
        <w:rPr>
          <w:rFonts w:asciiTheme="minorHAnsi" w:hAnsiTheme="minorHAnsi" w:cs="Arial"/>
          <w:lang w:val="el-GR"/>
        </w:rPr>
        <w:t>Τα έξοδα των δύο πρώτων περιπτώσεων δηλαδή των πρώτων υλών και της άμεσης εργασίας αποτελούν το Άμεσο κόστος.</w:t>
      </w:r>
    </w:p>
    <w:p w:rsidR="003C5415" w:rsidRDefault="003C5415">
      <w:pPr>
        <w:rPr>
          <w:rFonts w:asciiTheme="minorHAnsi" w:hAnsiTheme="minorHAnsi" w:cs="Arial"/>
          <w:lang w:val="el-GR"/>
        </w:rPr>
      </w:pPr>
    </w:p>
    <w:p w:rsidR="003A5263" w:rsidRPr="00622D8C" w:rsidRDefault="003A5263">
      <w:pPr>
        <w:rPr>
          <w:rFonts w:asciiTheme="minorHAnsi" w:hAnsiTheme="minorHAnsi" w:cs="Arial"/>
          <w:lang w:val="el-GR"/>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9333ED" w:rsidTr="00EC5992">
        <w:trPr>
          <w:trHeight w:val="1516"/>
        </w:trPr>
        <w:tc>
          <w:tcPr>
            <w:tcW w:w="8612" w:type="dxa"/>
          </w:tcPr>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lastRenderedPageBreak/>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5E913E22" wp14:editId="050995DE">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lastRenderedPageBreak/>
        <w:t>Σημείωμα Αναφοράς</w:t>
      </w:r>
    </w:p>
    <w:p w:rsidR="00622D8C" w:rsidRPr="00622D8C" w:rsidRDefault="00622D8C" w:rsidP="00622D8C">
      <w:pPr>
        <w:rPr>
          <w:rFonts w:asciiTheme="minorHAnsi" w:hAnsiTheme="minorHAnsi"/>
          <w:lang w:val="el-GR"/>
        </w:rPr>
      </w:pPr>
      <w:proofErr w:type="gramStart"/>
      <w:r w:rsidRPr="00622D8C">
        <w:rPr>
          <w:rFonts w:asciiTheme="minorHAnsi" w:hAnsiTheme="minorHAnsi"/>
        </w:rPr>
        <w:t>Copyright</w:t>
      </w:r>
      <w:r w:rsidRPr="00622D8C">
        <w:rPr>
          <w:rFonts w:asciiTheme="minorHAnsi" w:hAnsiTheme="minorHAnsi"/>
          <w:lang w:val="el-GR"/>
        </w:rPr>
        <w:t xml:space="preserve"> </w:t>
      </w:r>
      <w:r w:rsidR="00670635">
        <w:rPr>
          <w:rFonts w:asciiTheme="minorHAnsi" w:hAnsiTheme="minorHAnsi"/>
          <w:lang w:val="el-GR"/>
        </w:rPr>
        <w:t>ΤΕΙ Αθήνας</w:t>
      </w:r>
      <w:r w:rsidRPr="00622D8C">
        <w:rPr>
          <w:rFonts w:asciiTheme="minorHAnsi" w:hAnsiTheme="minorHAnsi"/>
          <w:lang w:val="el-GR"/>
        </w:rPr>
        <w:t xml:space="preserve">, </w:t>
      </w:r>
      <w:r w:rsidR="005260AB">
        <w:rPr>
          <w:rFonts w:asciiTheme="minorHAnsi" w:hAnsiTheme="minorHAnsi"/>
          <w:color w:val="1F497D" w:themeColor="text2"/>
          <w:lang w:val="el-GR"/>
        </w:rPr>
        <w:t xml:space="preserve">Αναστάσιος </w:t>
      </w:r>
      <w:r w:rsidR="005260AB" w:rsidRPr="005260AB">
        <w:rPr>
          <w:rFonts w:asciiTheme="minorHAnsi" w:hAnsiTheme="minorHAnsi"/>
          <w:color w:val="1F497D" w:themeColor="text2"/>
          <w:lang w:val="el-GR"/>
        </w:rPr>
        <w:t>Πολίτης</w:t>
      </w:r>
      <w:r w:rsidRPr="000023C0">
        <w:rPr>
          <w:rFonts w:asciiTheme="minorHAnsi" w:hAnsiTheme="minorHAnsi"/>
          <w:color w:val="1F497D" w:themeColor="text2"/>
          <w:lang w:val="el-GR"/>
        </w:rPr>
        <w:t>, 2014.</w:t>
      </w:r>
      <w:proofErr w:type="gramEnd"/>
      <w:r w:rsidRPr="000023C0">
        <w:rPr>
          <w:rFonts w:asciiTheme="minorHAnsi" w:hAnsiTheme="minorHAnsi"/>
          <w:color w:val="1F497D" w:themeColor="text2"/>
          <w:lang w:val="el-GR"/>
        </w:rPr>
        <w:t xml:space="preserve"> </w:t>
      </w:r>
      <w:r w:rsidR="005260AB">
        <w:rPr>
          <w:rFonts w:asciiTheme="minorHAnsi" w:hAnsiTheme="minorHAnsi"/>
          <w:color w:val="1F497D" w:themeColor="text2"/>
          <w:lang w:val="el-GR"/>
        </w:rPr>
        <w:t xml:space="preserve">Αναστάσιος </w:t>
      </w:r>
      <w:r w:rsidR="005260AB" w:rsidRPr="005260AB">
        <w:rPr>
          <w:rFonts w:asciiTheme="minorHAnsi" w:hAnsiTheme="minorHAnsi"/>
          <w:color w:val="1F497D" w:themeColor="text2"/>
          <w:lang w:val="el-GR"/>
        </w:rPr>
        <w:t>Πολίτης</w:t>
      </w:r>
      <w:r w:rsidRPr="000023C0">
        <w:rPr>
          <w:rFonts w:asciiTheme="minorHAnsi" w:hAnsiTheme="minorHAnsi"/>
          <w:color w:val="1F497D" w:themeColor="text2"/>
          <w:lang w:val="el-GR"/>
        </w:rPr>
        <w:t>. «</w:t>
      </w:r>
      <w:r w:rsidR="009333ED" w:rsidRPr="009333ED">
        <w:rPr>
          <w:rFonts w:asciiTheme="minorHAnsi" w:hAnsiTheme="minorHAnsi"/>
          <w:color w:val="1F497D" w:themeColor="text2"/>
          <w:lang w:val="el-GR"/>
        </w:rPr>
        <w:t>Κοστολόγηση</w:t>
      </w:r>
      <w:bookmarkStart w:id="6" w:name="_GoBack"/>
      <w:bookmarkEnd w:id="6"/>
      <w:r w:rsidRPr="000023C0">
        <w:rPr>
          <w:rFonts w:asciiTheme="minorHAnsi" w:hAnsiTheme="minorHAnsi"/>
          <w:color w:val="1F497D" w:themeColor="text2"/>
          <w:lang w:val="el-GR"/>
        </w:rPr>
        <w:t xml:space="preserve">. </w:t>
      </w:r>
      <w:r w:rsidR="005260AB">
        <w:rPr>
          <w:rFonts w:asciiTheme="minorHAnsi" w:hAnsiTheme="minorHAnsi"/>
          <w:color w:val="1F497D" w:themeColor="text2"/>
          <w:lang w:val="el-GR"/>
        </w:rPr>
        <w:t xml:space="preserve">Ενότητα </w:t>
      </w:r>
      <w:r w:rsidR="00CB0B41" w:rsidRPr="00D220C1">
        <w:rPr>
          <w:rFonts w:asciiTheme="minorHAnsi" w:hAnsiTheme="minorHAnsi"/>
          <w:color w:val="1F497D" w:themeColor="text2"/>
          <w:lang w:val="el-GR"/>
        </w:rPr>
        <w:t>9</w:t>
      </w:r>
      <w:r w:rsidR="00670635" w:rsidRPr="00670635">
        <w:rPr>
          <w:rFonts w:asciiTheme="minorHAnsi" w:hAnsiTheme="minorHAnsi"/>
          <w:color w:val="1F497D" w:themeColor="text2"/>
          <w:lang w:val="el-GR"/>
        </w:rPr>
        <w:t>:</w:t>
      </w:r>
      <w:r w:rsidR="008C42E2" w:rsidRPr="00CB0B41">
        <w:rPr>
          <w:rFonts w:asciiTheme="minorHAnsi" w:hAnsiTheme="minorHAnsi"/>
          <w:color w:val="1F497D" w:themeColor="text2"/>
          <w:lang w:val="el-GR"/>
        </w:rPr>
        <w:t xml:space="preserve"> </w:t>
      </w:r>
      <w:r w:rsidR="00CB0B41" w:rsidRPr="00CB0B41">
        <w:rPr>
          <w:rFonts w:asciiTheme="minorHAnsi" w:hAnsiTheme="minorHAnsi"/>
          <w:color w:val="1F497D" w:themeColor="text2"/>
          <w:lang w:val="el-GR"/>
        </w:rPr>
        <w:t>Γενικά Βιομηχανικά Έξοδα και Κέντρα Κόστους</w:t>
      </w:r>
      <w:r w:rsidRPr="00622D8C">
        <w:rPr>
          <w:rFonts w:asciiTheme="minorHAnsi" w:hAnsiTheme="minorHAnsi"/>
          <w:lang w:val="el-GR"/>
        </w:rPr>
        <w:t xml:space="preserve">». Έκδοση: 1.0. Αθήνα 2014. Διαθέσιμο από τη δικτυακή διεύθυνση: </w:t>
      </w:r>
      <w:hyperlink r:id="rId13" w:history="1">
        <w:proofErr w:type="spellStart"/>
        <w:r w:rsidR="00670635" w:rsidRPr="00670635">
          <w:rPr>
            <w:rStyle w:val="-"/>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Αδειοδότησης</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[1] http://creativecommons.org/licenses/by-nc-sa/4.0/ </w:t>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Ως </w:t>
      </w:r>
      <w:r w:rsidRPr="00194318">
        <w:rPr>
          <w:rFonts w:asciiTheme="minorHAnsi" w:hAnsi="Calibri"/>
          <w:b/>
          <w:bCs/>
          <w:color w:val="000000" w:themeColor="text1"/>
          <w:kern w:val="24"/>
          <w:lang w:val="el-GR" w:eastAsia="el-GR" w:bidi="ar-SA"/>
        </w:rPr>
        <w:t>Μη Εμπορική</w:t>
      </w:r>
      <w:r w:rsidRPr="00194318">
        <w:rPr>
          <w:rFonts w:asciiTheme="minorHAnsi" w:hAnsi="Calibri"/>
          <w:color w:val="000000" w:themeColor="text1"/>
          <w:kern w:val="24"/>
          <w:lang w:val="el-GR" w:eastAsia="el-GR" w:bidi="ar-SA"/>
        </w:rPr>
        <w:t xml:space="preserve"> ορίζεται η χρήση:</w:t>
      </w:r>
    </w:p>
    <w:p w:rsidR="00794F0C" w:rsidRPr="00194318"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794F0C" w:rsidRPr="00194318"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περιλαμβάνει οικονομική συναλλαγή ως προϋπόθεση για τη χρήση ή πρόσβαση στο έργο</w:t>
      </w:r>
    </w:p>
    <w:p w:rsidR="00794F0C" w:rsidRPr="00194318"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προσπορίζει στο διανομέα του έργου και</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αδειοδόχο</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έμμεσο οικονομικό όφελος (π.χ. διαφημίσεις) από την προβολή του έργου σε διαδικτυακό τόπο</w:t>
      </w:r>
    </w:p>
    <w:p w:rsidR="00794F0C" w:rsidRPr="00194318" w:rsidRDefault="00794F0C" w:rsidP="00794F0C">
      <w:pPr>
        <w:spacing w:before="120" w:after="0" w:line="240" w:lineRule="auto"/>
        <w:textAlignment w:val="baseline"/>
        <w:rPr>
          <w:rFonts w:asciiTheme="minorHAnsi" w:hAnsi="Calibri"/>
          <w:color w:val="000000" w:themeColor="text1"/>
          <w:kern w:val="24"/>
          <w:lang w:val="el-GR" w:eastAsia="el-GR" w:bidi="ar-SA"/>
        </w:rPr>
      </w:pPr>
      <w:r w:rsidRPr="00194318">
        <w:rPr>
          <w:rFonts w:asciiTheme="minorHAnsi" w:hAnsi="Calibri"/>
          <w:color w:val="000000" w:themeColor="text1"/>
          <w:kern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794F0C" w:rsidRPr="00FE7731" w:rsidRDefault="00794F0C">
      <w:pPr>
        <w:rPr>
          <w:rFonts w:asciiTheme="minorHAnsi" w:hAnsi="Calibri"/>
          <w:color w:val="000000" w:themeColor="text1"/>
          <w:kern w:val="24"/>
          <w:sz w:val="24"/>
          <w:szCs w:val="24"/>
          <w:lang w:val="el-GR" w:eastAsia="el-GR" w:bidi="ar-SA"/>
        </w:rPr>
      </w:pPr>
      <w:r w:rsidRPr="00FE7731">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794F0C" w:rsidRPr="009333ED" w:rsidTr="003E07B6">
        <w:tc>
          <w:tcPr>
            <w:tcW w:w="2093" w:type="dxa"/>
          </w:tcPr>
          <w:p w:rsidR="00794F0C" w:rsidRPr="00021A16" w:rsidRDefault="00794F0C" w:rsidP="00622D8C">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794F0C" w:rsidRPr="009333ED"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794F0C" w:rsidRDefault="00794F0C" w:rsidP="00794F0C">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794F0C" w:rsidRPr="009333ED"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794F0C" w:rsidTr="003E07B6">
        <w:tc>
          <w:tcPr>
            <w:tcW w:w="2093" w:type="dxa"/>
          </w:tcPr>
          <w:p w:rsidR="00794F0C" w:rsidRDefault="00794F0C" w:rsidP="00794F0C">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794F0C" w:rsidRDefault="00794F0C" w:rsidP="00794F0C">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794F0C" w:rsidRDefault="00794F0C" w:rsidP="00794F0C">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794F0C" w:rsidRPr="009333ED"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794F0C" w:rsidRPr="009333ED"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CC0 Public Domain</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9333ED"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9333ED"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χωρίς σήμανση</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a4"/>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Αδειοδότησης</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021A16" w:rsidRPr="005260AB" w:rsidRDefault="00A36113" w:rsidP="005260AB">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Χρήσης Έργων Τρίτων (εφόσον υπάρχει)</w:t>
      </w:r>
      <w:r w:rsidRPr="00A36113">
        <w:rPr>
          <w:rFonts w:asciiTheme="minorHAnsi" w:hAnsiTheme="minorHAnsi"/>
          <w:lang w:val="el-GR"/>
        </w:rPr>
        <w:t xml:space="preserve"> </w:t>
      </w:r>
      <w:r w:rsidR="00622D8C" w:rsidRPr="00A36113">
        <w:rPr>
          <w:rFonts w:asciiTheme="minorHAnsi" w:hAnsiTheme="minorHAnsi"/>
          <w:lang w:val="el-GR"/>
        </w:rPr>
        <w:t>μαζί με τους συνοδευόμενους υπερσυνδέσμους.</w:t>
      </w:r>
    </w:p>
    <w:sectPr w:rsidR="00021A16" w:rsidRPr="005260AB" w:rsidSect="00E10403">
      <w:footerReference w:type="defaul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35" w:rsidRDefault="00B42635">
      <w:pPr>
        <w:spacing w:after="0" w:line="240" w:lineRule="auto"/>
      </w:pPr>
      <w:r>
        <w:separator/>
      </w:r>
    </w:p>
  </w:endnote>
  <w:endnote w:type="continuationSeparator" w:id="0">
    <w:p w:rsidR="00B42635" w:rsidRDefault="00B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a6"/>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9333ED">
          <w:rPr>
            <w:noProof/>
            <w:sz w:val="28"/>
            <w:szCs w:val="28"/>
          </w:rPr>
          <w:t>10</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35" w:rsidRDefault="00B42635">
      <w:pPr>
        <w:spacing w:after="0" w:line="240" w:lineRule="auto"/>
      </w:pPr>
      <w:r>
        <w:separator/>
      </w:r>
    </w:p>
  </w:footnote>
  <w:footnote w:type="continuationSeparator" w:id="0">
    <w:p w:rsidR="00B42635" w:rsidRDefault="00B42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160B7B"/>
    <w:multiLevelType w:val="hybridMultilevel"/>
    <w:tmpl w:val="50DED870"/>
    <w:lvl w:ilvl="0" w:tplc="EBA01A44">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77712D0"/>
    <w:multiLevelType w:val="singleLevel"/>
    <w:tmpl w:val="5B52CC6E"/>
    <w:lvl w:ilvl="0">
      <w:start w:val="1"/>
      <w:numFmt w:val="decimal"/>
      <w:lvlText w:val="%1)"/>
      <w:legacy w:legacy="1" w:legacySpace="113" w:legacyIndent="340"/>
      <w:lvlJc w:val="left"/>
      <w:pPr>
        <w:ind w:left="340" w:hanging="340"/>
      </w:pPr>
    </w:lvl>
  </w:abstractNum>
  <w:abstractNum w:abstractNumId="6">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10">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5896E52"/>
    <w:multiLevelType w:val="singleLevel"/>
    <w:tmpl w:val="0DD06B4E"/>
    <w:lvl w:ilvl="0">
      <w:start w:val="1"/>
      <w:numFmt w:val="decimal"/>
      <w:lvlText w:val="%1."/>
      <w:legacy w:legacy="1" w:legacySpace="0" w:legacyIndent="284"/>
      <w:lvlJc w:val="left"/>
      <w:pPr>
        <w:ind w:left="284" w:hanging="284"/>
      </w:pPr>
    </w:lvl>
  </w:abstractNum>
  <w:abstractNum w:abstractNumId="12">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4">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22316647"/>
    <w:multiLevelType w:val="singleLevel"/>
    <w:tmpl w:val="E026A012"/>
    <w:lvl w:ilvl="0">
      <w:start w:val="1"/>
      <w:numFmt w:val="decimal"/>
      <w:lvlText w:val="%1."/>
      <w:legacy w:legacy="1" w:legacySpace="0" w:legacyIndent="360"/>
      <w:lvlJc w:val="left"/>
      <w:pPr>
        <w:ind w:left="360" w:hanging="360"/>
      </w:pPr>
    </w:lvl>
  </w:abstractNum>
  <w:abstractNum w:abstractNumId="16">
    <w:nsid w:val="25F566C6"/>
    <w:multiLevelType w:val="hybridMultilevel"/>
    <w:tmpl w:val="09DA3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Arial"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Arial"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8747DCE"/>
    <w:multiLevelType w:val="hybridMultilevel"/>
    <w:tmpl w:val="4C1AF4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Arial"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Arial"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F805D27"/>
    <w:multiLevelType w:val="singleLevel"/>
    <w:tmpl w:val="C8782E5E"/>
    <w:lvl w:ilvl="0">
      <w:start w:val="1"/>
      <w:numFmt w:val="decimal"/>
      <w:lvlText w:val="%1."/>
      <w:legacy w:legacy="1" w:legacySpace="113" w:legacyIndent="340"/>
      <w:lvlJc w:val="left"/>
      <w:pPr>
        <w:ind w:left="340" w:hanging="340"/>
      </w:pPr>
    </w:lvl>
  </w:abstractNum>
  <w:abstractNum w:abstractNumId="23">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4">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47D507CF"/>
    <w:multiLevelType w:val="hybridMultilevel"/>
    <w:tmpl w:val="7B5A97BA"/>
    <w:lvl w:ilvl="0" w:tplc="EBA01A44">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7">
    <w:nsid w:val="4DCF5477"/>
    <w:multiLevelType w:val="singleLevel"/>
    <w:tmpl w:val="3778777A"/>
    <w:lvl w:ilvl="0">
      <w:start w:val="1"/>
      <w:numFmt w:val="decimal"/>
      <w:lvlText w:val="%1."/>
      <w:legacy w:legacy="1" w:legacySpace="0" w:legacyIndent="283"/>
      <w:lvlJc w:val="left"/>
      <w:pPr>
        <w:ind w:left="283" w:hanging="283"/>
      </w:pPr>
    </w:lvl>
  </w:abstractNum>
  <w:abstractNum w:abstractNumId="28">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34F3DA1"/>
    <w:multiLevelType w:val="singleLevel"/>
    <w:tmpl w:val="04F0DC50"/>
    <w:lvl w:ilvl="0">
      <w:start w:val="3"/>
      <w:numFmt w:val="decimal"/>
      <w:lvlText w:val="%1."/>
      <w:legacy w:legacy="1" w:legacySpace="113" w:legacyIndent="397"/>
      <w:lvlJc w:val="left"/>
      <w:pPr>
        <w:ind w:left="397" w:hanging="397"/>
      </w:pPr>
    </w:lvl>
  </w:abstractNum>
  <w:abstractNum w:abstractNumId="30">
    <w:nsid w:val="53813FD1"/>
    <w:multiLevelType w:val="singleLevel"/>
    <w:tmpl w:val="E0C47F44"/>
    <w:lvl w:ilvl="0">
      <w:start w:val="1"/>
      <w:numFmt w:val="decimal"/>
      <w:lvlText w:val="%1."/>
      <w:legacy w:legacy="1" w:legacySpace="113" w:legacyIndent="340"/>
      <w:lvlJc w:val="left"/>
      <w:pPr>
        <w:ind w:left="340" w:hanging="340"/>
      </w:pPr>
    </w:lvl>
  </w:abstractNum>
  <w:abstractNum w:abstractNumId="31">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61B47502"/>
    <w:multiLevelType w:val="singleLevel"/>
    <w:tmpl w:val="C8782E5E"/>
    <w:lvl w:ilvl="0">
      <w:start w:val="1"/>
      <w:numFmt w:val="decimal"/>
      <w:lvlText w:val="%1."/>
      <w:legacy w:legacy="1" w:legacySpace="113" w:legacyIndent="340"/>
      <w:lvlJc w:val="left"/>
      <w:pPr>
        <w:ind w:left="340" w:hanging="340"/>
      </w:pPr>
    </w:lvl>
  </w:abstractNum>
  <w:abstractNum w:abstractNumId="34">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5">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D3E3612"/>
    <w:multiLevelType w:val="singleLevel"/>
    <w:tmpl w:val="38068EB4"/>
    <w:lvl w:ilvl="0">
      <w:start w:val="1"/>
      <w:numFmt w:val="decimal"/>
      <w:lvlText w:val="%1."/>
      <w:legacy w:legacy="1" w:legacySpace="340" w:legacyIndent="567"/>
      <w:lvlJc w:val="left"/>
      <w:pPr>
        <w:ind w:left="567" w:hanging="567"/>
      </w:pPr>
    </w:lvl>
  </w:abstractNum>
  <w:abstractNum w:abstractNumId="37">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5021EEA"/>
    <w:multiLevelType w:val="singleLevel"/>
    <w:tmpl w:val="5B52CC6E"/>
    <w:lvl w:ilvl="0">
      <w:start w:val="1"/>
      <w:numFmt w:val="decimal"/>
      <w:lvlText w:val="%1)"/>
      <w:legacy w:legacy="1" w:legacySpace="113" w:legacyIndent="340"/>
      <w:lvlJc w:val="left"/>
      <w:pPr>
        <w:ind w:left="340" w:hanging="340"/>
      </w:pPr>
    </w:lvl>
  </w:abstractNum>
  <w:abstractNum w:abstractNumId="39">
    <w:nsid w:val="763B034E"/>
    <w:multiLevelType w:val="hybridMultilevel"/>
    <w:tmpl w:val="2A7A03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1">
    <w:nsid w:val="7B1534BD"/>
    <w:multiLevelType w:val="singleLevel"/>
    <w:tmpl w:val="D7C8CB5A"/>
    <w:lvl w:ilvl="0">
      <w:start w:val="1"/>
      <w:numFmt w:val="decimal"/>
      <w:lvlText w:val="%1."/>
      <w:legacy w:legacy="1" w:legacySpace="113" w:legacyIndent="397"/>
      <w:lvlJc w:val="left"/>
      <w:pPr>
        <w:ind w:left="397" w:hanging="397"/>
      </w:pPr>
    </w:lvl>
  </w:abstractNum>
  <w:abstractNum w:abstractNumId="42">
    <w:nsid w:val="7CEF28B9"/>
    <w:multiLevelType w:val="singleLevel"/>
    <w:tmpl w:val="FA842124"/>
    <w:lvl w:ilvl="0">
      <w:start w:val="1"/>
      <w:numFmt w:val="decimal"/>
      <w:lvlText w:val="%1."/>
      <w:legacy w:legacy="1" w:legacySpace="0" w:legacyIndent="340"/>
      <w:lvlJc w:val="left"/>
      <w:pPr>
        <w:ind w:left="340" w:hanging="340"/>
      </w:pPr>
    </w:lvl>
  </w:abstractNum>
  <w:abstractNum w:abstractNumId="43">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20"/>
  </w:num>
  <w:num w:numId="2">
    <w:abstractNumId w:val="28"/>
  </w:num>
  <w:num w:numId="3">
    <w:abstractNumId w:val="18"/>
  </w:num>
  <w:num w:numId="4">
    <w:abstractNumId w:val="26"/>
  </w:num>
  <w:num w:numId="5">
    <w:abstractNumId w:val="23"/>
  </w:num>
  <w:num w:numId="6">
    <w:abstractNumId w:val="37"/>
  </w:num>
  <w:num w:numId="7">
    <w:abstractNumId w:val="32"/>
  </w:num>
  <w:num w:numId="8">
    <w:abstractNumId w:val="8"/>
  </w:num>
  <w:num w:numId="9">
    <w:abstractNumId w:val="3"/>
  </w:num>
  <w:num w:numId="10">
    <w:abstractNumId w:val="14"/>
  </w:num>
  <w:num w:numId="11">
    <w:abstractNumId w:val="31"/>
  </w:num>
  <w:num w:numId="12">
    <w:abstractNumId w:val="4"/>
  </w:num>
  <w:num w:numId="13">
    <w:abstractNumId w:val="1"/>
  </w:num>
  <w:num w:numId="14">
    <w:abstractNumId w:val="7"/>
  </w:num>
  <w:num w:numId="15">
    <w:abstractNumId w:val="24"/>
  </w:num>
  <w:num w:numId="16">
    <w:abstractNumId w:val="17"/>
  </w:num>
  <w:num w:numId="17">
    <w:abstractNumId w:val="10"/>
  </w:num>
  <w:num w:numId="18">
    <w:abstractNumId w:val="40"/>
  </w:num>
  <w:num w:numId="19">
    <w:abstractNumId w:val="12"/>
  </w:num>
  <w:num w:numId="20">
    <w:abstractNumId w:val="35"/>
  </w:num>
  <w:num w:numId="21">
    <w:abstractNumId w:val="27"/>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2"/>
  </w:num>
  <w:num w:numId="24">
    <w:abstractNumId w:val="15"/>
  </w:num>
  <w:num w:numId="25">
    <w:abstractNumId w:val="13"/>
  </w:num>
  <w:num w:numId="26">
    <w:abstractNumId w:val="33"/>
  </w:num>
  <w:num w:numId="27">
    <w:abstractNumId w:val="38"/>
  </w:num>
  <w:num w:numId="28">
    <w:abstractNumId w:val="5"/>
  </w:num>
  <w:num w:numId="29">
    <w:abstractNumId w:val="41"/>
  </w:num>
  <w:num w:numId="30">
    <w:abstractNumId w:val="34"/>
  </w:num>
  <w:num w:numId="31">
    <w:abstractNumId w:val="29"/>
  </w:num>
  <w:num w:numId="32">
    <w:abstractNumId w:val="11"/>
  </w:num>
  <w:num w:numId="33">
    <w:abstractNumId w:val="43"/>
  </w:num>
  <w:num w:numId="34">
    <w:abstractNumId w:val="42"/>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30"/>
  </w:num>
  <w:num w:numId="37">
    <w:abstractNumId w:val="36"/>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6"/>
  </w:num>
  <w:num w:numId="41">
    <w:abstractNumId w:val="19"/>
  </w:num>
  <w:num w:numId="42">
    <w:abstractNumId w:val="9"/>
  </w:num>
  <w:num w:numId="43">
    <w:abstractNumId w:val="39"/>
  </w:num>
  <w:num w:numId="44">
    <w:abstractNumId w:val="2"/>
  </w:num>
  <w:num w:numId="45">
    <w:abstractNumId w:val="25"/>
  </w:num>
  <w:num w:numId="46">
    <w:abstractNumId w:val="21"/>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34A28"/>
    <w:rsid w:val="00046B4D"/>
    <w:rsid w:val="00050723"/>
    <w:rsid w:val="00082C02"/>
    <w:rsid w:val="00091342"/>
    <w:rsid w:val="000B1FEC"/>
    <w:rsid w:val="000E0BD3"/>
    <w:rsid w:val="00110ADD"/>
    <w:rsid w:val="00124510"/>
    <w:rsid w:val="001509F1"/>
    <w:rsid w:val="00156ABF"/>
    <w:rsid w:val="0017308B"/>
    <w:rsid w:val="00194318"/>
    <w:rsid w:val="001D479D"/>
    <w:rsid w:val="00224459"/>
    <w:rsid w:val="002312E0"/>
    <w:rsid w:val="00251B16"/>
    <w:rsid w:val="00251F93"/>
    <w:rsid w:val="002962FE"/>
    <w:rsid w:val="002C12EC"/>
    <w:rsid w:val="00330C19"/>
    <w:rsid w:val="003A5263"/>
    <w:rsid w:val="003C5415"/>
    <w:rsid w:val="003E07B6"/>
    <w:rsid w:val="003E19A4"/>
    <w:rsid w:val="0040090D"/>
    <w:rsid w:val="00404494"/>
    <w:rsid w:val="00412BD3"/>
    <w:rsid w:val="00443DC2"/>
    <w:rsid w:val="004616B2"/>
    <w:rsid w:val="00492406"/>
    <w:rsid w:val="004B47F4"/>
    <w:rsid w:val="004B683B"/>
    <w:rsid w:val="004D22C5"/>
    <w:rsid w:val="004F6F1A"/>
    <w:rsid w:val="0051708A"/>
    <w:rsid w:val="00524A80"/>
    <w:rsid w:val="005260AB"/>
    <w:rsid w:val="00561F7D"/>
    <w:rsid w:val="00585195"/>
    <w:rsid w:val="0059100E"/>
    <w:rsid w:val="005A4EC8"/>
    <w:rsid w:val="005F1188"/>
    <w:rsid w:val="00610FD2"/>
    <w:rsid w:val="00620220"/>
    <w:rsid w:val="00622D8C"/>
    <w:rsid w:val="006244CF"/>
    <w:rsid w:val="00631ED6"/>
    <w:rsid w:val="0066673F"/>
    <w:rsid w:val="00670635"/>
    <w:rsid w:val="00670806"/>
    <w:rsid w:val="00681616"/>
    <w:rsid w:val="006A77FC"/>
    <w:rsid w:val="006B1DB3"/>
    <w:rsid w:val="006B5BB0"/>
    <w:rsid w:val="006C74D6"/>
    <w:rsid w:val="006D4B5B"/>
    <w:rsid w:val="006F2B13"/>
    <w:rsid w:val="00765CFA"/>
    <w:rsid w:val="00771088"/>
    <w:rsid w:val="00794F0C"/>
    <w:rsid w:val="00796961"/>
    <w:rsid w:val="00797D0C"/>
    <w:rsid w:val="007A718D"/>
    <w:rsid w:val="007C14DB"/>
    <w:rsid w:val="00801848"/>
    <w:rsid w:val="00813B7B"/>
    <w:rsid w:val="00831DD5"/>
    <w:rsid w:val="00877473"/>
    <w:rsid w:val="00881567"/>
    <w:rsid w:val="00890B02"/>
    <w:rsid w:val="0089231A"/>
    <w:rsid w:val="00892742"/>
    <w:rsid w:val="0089557D"/>
    <w:rsid w:val="008B711F"/>
    <w:rsid w:val="008C0A18"/>
    <w:rsid w:val="008C42E2"/>
    <w:rsid w:val="008D57A5"/>
    <w:rsid w:val="008E11E4"/>
    <w:rsid w:val="00910930"/>
    <w:rsid w:val="009146EA"/>
    <w:rsid w:val="00924347"/>
    <w:rsid w:val="009333ED"/>
    <w:rsid w:val="00952845"/>
    <w:rsid w:val="00976633"/>
    <w:rsid w:val="00983C0D"/>
    <w:rsid w:val="009A5D62"/>
    <w:rsid w:val="009D1D2E"/>
    <w:rsid w:val="009D2669"/>
    <w:rsid w:val="00A07F4D"/>
    <w:rsid w:val="00A109F1"/>
    <w:rsid w:val="00A123F0"/>
    <w:rsid w:val="00A26A14"/>
    <w:rsid w:val="00A36113"/>
    <w:rsid w:val="00A96B59"/>
    <w:rsid w:val="00A97906"/>
    <w:rsid w:val="00AC1731"/>
    <w:rsid w:val="00AC2AAC"/>
    <w:rsid w:val="00AD5A3D"/>
    <w:rsid w:val="00AD7803"/>
    <w:rsid w:val="00B03879"/>
    <w:rsid w:val="00B23A6A"/>
    <w:rsid w:val="00B3399D"/>
    <w:rsid w:val="00B42635"/>
    <w:rsid w:val="00B44ABE"/>
    <w:rsid w:val="00B72F36"/>
    <w:rsid w:val="00B752AA"/>
    <w:rsid w:val="00BD3346"/>
    <w:rsid w:val="00C326BF"/>
    <w:rsid w:val="00C457C1"/>
    <w:rsid w:val="00C6472A"/>
    <w:rsid w:val="00C71C68"/>
    <w:rsid w:val="00C7453C"/>
    <w:rsid w:val="00C75A5C"/>
    <w:rsid w:val="00C846D0"/>
    <w:rsid w:val="00C94E74"/>
    <w:rsid w:val="00CB0B41"/>
    <w:rsid w:val="00CC3445"/>
    <w:rsid w:val="00CD3DCF"/>
    <w:rsid w:val="00CF0F38"/>
    <w:rsid w:val="00D01161"/>
    <w:rsid w:val="00D16348"/>
    <w:rsid w:val="00D220C1"/>
    <w:rsid w:val="00D26F81"/>
    <w:rsid w:val="00D33B00"/>
    <w:rsid w:val="00D6375B"/>
    <w:rsid w:val="00D66F27"/>
    <w:rsid w:val="00D70A2A"/>
    <w:rsid w:val="00D75310"/>
    <w:rsid w:val="00D8684C"/>
    <w:rsid w:val="00D96A5B"/>
    <w:rsid w:val="00E01BC1"/>
    <w:rsid w:val="00E02D3B"/>
    <w:rsid w:val="00E10403"/>
    <w:rsid w:val="00E6417D"/>
    <w:rsid w:val="00E76E8C"/>
    <w:rsid w:val="00E828B3"/>
    <w:rsid w:val="00EC5992"/>
    <w:rsid w:val="00EE047E"/>
    <w:rsid w:val="00EE172C"/>
    <w:rsid w:val="00EF3AFC"/>
    <w:rsid w:val="00F20A01"/>
    <w:rsid w:val="00F652D1"/>
    <w:rsid w:val="00FD0A80"/>
    <w:rsid w:val="00FD500A"/>
    <w:rsid w:val="00FE7731"/>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f0">
    <w:name w:val="No Spacing"/>
    <w:uiPriority w:val="1"/>
    <w:qFormat/>
    <w:rsid w:val="003C5415"/>
    <w:pPr>
      <w:spacing w:after="0" w:line="240" w:lineRule="auto"/>
    </w:pPr>
    <w:rPr>
      <w:rFonts w:ascii="Arial Unicode MS" w:eastAsia="Arial Unicode MS" w:hAnsi="Arial Unicode MS" w:cs="Arial Unicode MS"/>
      <w:color w:val="000000"/>
      <w:sz w:val="24"/>
      <w:szCs w:val="24"/>
      <w:lang w:val="el" w:eastAsia="el-GR"/>
    </w:rPr>
  </w:style>
  <w:style w:type="paragraph" w:customStyle="1" w:styleId="yiv386544193msolistparagraphcxspmiddle">
    <w:name w:val="yiv386544193msolistparagraphcxspmiddle"/>
    <w:basedOn w:val="a"/>
    <w:rsid w:val="003C5415"/>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f0">
    <w:name w:val="No Spacing"/>
    <w:uiPriority w:val="1"/>
    <w:qFormat/>
    <w:rsid w:val="003C5415"/>
    <w:pPr>
      <w:spacing w:after="0" w:line="240" w:lineRule="auto"/>
    </w:pPr>
    <w:rPr>
      <w:rFonts w:ascii="Arial Unicode MS" w:eastAsia="Arial Unicode MS" w:hAnsi="Arial Unicode MS" w:cs="Arial Unicode MS"/>
      <w:color w:val="000000"/>
      <w:sz w:val="24"/>
      <w:szCs w:val="24"/>
      <w:lang w:val="el" w:eastAsia="el-GR"/>
    </w:rPr>
  </w:style>
  <w:style w:type="paragraph" w:customStyle="1" w:styleId="yiv386544193msolistparagraphcxspmiddle">
    <w:name w:val="yiv386544193msolistparagraphcxspmiddle"/>
    <w:basedOn w:val="a"/>
    <w:rsid w:val="003C5415"/>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teiath.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5b1%5d%20http:/creativecommons.org/licenses/by-nc-sa/4.0/"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pantelis\Downloads\%5b1%5d%20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D5C7D-BEE8-4B12-AFE5-3FE5400A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2442</Words>
  <Characters>13192</Characters>
  <Application>Microsoft Office Word</Application>
  <DocSecurity>0</DocSecurity>
  <Lines>109</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15603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fkaram2</cp:lastModifiedBy>
  <cp:revision>9</cp:revision>
  <dcterms:created xsi:type="dcterms:W3CDTF">2015-07-27T08:15:00Z</dcterms:created>
  <dcterms:modified xsi:type="dcterms:W3CDTF">2015-12-14T12:52:00Z</dcterms:modified>
</cp:coreProperties>
</file>